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eastAsia" w:ascii="宋体" w:hAnsi="宋体" w:eastAsia="宋体" w:cs="宋体"/>
          <w:sz w:val="44"/>
          <w:szCs w:val="44"/>
        </w:rPr>
      </w:pPr>
      <w:r>
        <w:rPr>
          <w:rFonts w:hint="eastAsia" w:ascii="宋体" w:hAnsi="宋体" w:eastAsia="宋体" w:cs="宋体"/>
          <w:sz w:val="44"/>
          <w:szCs w:val="44"/>
        </w:rPr>
        <w:t>细河区六家子管委会</w:t>
      </w:r>
    </w:p>
    <w:p>
      <w:pPr>
        <w:pStyle w:val="2"/>
        <w:spacing w:line="600" w:lineRule="exact"/>
        <w:jc w:val="center"/>
        <w:rPr>
          <w:rFonts w:hint="eastAsia" w:ascii="宋体" w:hAnsi="宋体" w:eastAsia="宋体" w:cs="宋体"/>
          <w:sz w:val="44"/>
          <w:szCs w:val="44"/>
        </w:rPr>
      </w:pPr>
      <w:r>
        <w:rPr>
          <w:rFonts w:hint="eastAsia" w:ascii="宋体" w:hAnsi="宋体" w:eastAsia="宋体" w:cs="宋体"/>
          <w:sz w:val="44"/>
          <w:szCs w:val="44"/>
        </w:rPr>
        <w:t>2017年政府信息公开年度报告</w:t>
      </w:r>
    </w:p>
    <w:p>
      <w:pPr>
        <w:keepNext w:val="0"/>
        <w:keepLines w:val="0"/>
        <w:pageBreakBefore w:val="0"/>
        <w:kinsoku/>
        <w:wordWrap/>
        <w:overflowPunct/>
        <w:topLinePunct w:val="0"/>
        <w:autoSpaceDE/>
        <w:autoSpaceDN/>
        <w:bidi w:val="0"/>
        <w:adjustRightInd/>
        <w:snapToGrid/>
        <w:spacing w:line="590" w:lineRule="exact"/>
        <w:ind w:right="0" w:rightChars="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cs="仿宋_GB2312"/>
          <w:lang w:val="en-US" w:eastAsia="zh-CN"/>
        </w:rPr>
        <w:t>根据《中华人民共和国政府信息公开条例》、《关于做好2017年度政府信息公开工作报告编制发布等工作的通知》要求,结合六家子管委会实际,现将2017年度政府信息公开工作开展情况报告如下。</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8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概述</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rPr>
      </w:pPr>
      <w:r>
        <w:rPr>
          <w:rFonts w:hint="eastAsia" w:ascii="仿宋_GB2312" w:hAnsi="仿宋_GB2312" w:eastAsia="仿宋_GB2312" w:cs="仿宋_GB2312"/>
          <w:lang w:val="en-US" w:eastAsia="zh-CN"/>
        </w:rPr>
        <w:t>2017</w:t>
      </w:r>
      <w:r>
        <w:rPr>
          <w:rFonts w:hint="eastAsia"/>
        </w:rPr>
        <w:t>年，六家子</w:t>
      </w:r>
      <w:r>
        <w:rPr>
          <w:rFonts w:hint="eastAsia"/>
          <w:lang w:eastAsia="zh-CN"/>
        </w:rPr>
        <w:t>管委会</w:t>
      </w:r>
      <w:r>
        <w:rPr>
          <w:rFonts w:hint="eastAsia"/>
        </w:rPr>
        <w:t>在区委</w:t>
      </w:r>
      <w:r>
        <w:rPr>
          <w:rFonts w:hint="eastAsia"/>
          <w:lang w:eastAsia="zh-CN"/>
        </w:rPr>
        <w:t>、区政府</w:t>
      </w:r>
      <w:r>
        <w:rPr>
          <w:rFonts w:hint="eastAsia"/>
        </w:rPr>
        <w:t>的正确领导</w:t>
      </w:r>
      <w:r>
        <w:rPr>
          <w:rFonts w:hint="eastAsia"/>
          <w:lang w:eastAsia="zh-CN"/>
        </w:rPr>
        <w:t>下，</w:t>
      </w:r>
      <w:r>
        <w:rPr>
          <w:rFonts w:hint="eastAsia"/>
        </w:rPr>
        <w:t>认真贯彻落实党的</w:t>
      </w:r>
      <w:r>
        <w:rPr>
          <w:rFonts w:hint="eastAsia"/>
          <w:lang w:eastAsia="zh-CN"/>
        </w:rPr>
        <w:t>十八大</w:t>
      </w:r>
      <w:r>
        <w:rPr>
          <w:rFonts w:hint="eastAsia"/>
        </w:rPr>
        <w:t>精神，全面贯彻党的各项路线方针政策，</w:t>
      </w:r>
      <w:r>
        <w:rPr>
          <w:rFonts w:hint="eastAsia"/>
          <w:lang w:eastAsia="zh-CN"/>
        </w:rPr>
        <w:t>抢抓机遇，奋力拼搏，完成或超额完成了各项指标任务和自我目标定位，持之以恒打基础、求突破，扩总量、提质量，经济社会总体保持健康发展态势。在招商引资、项目建设、关注民生、维护社会稳定等方面取得了一定的成绩。</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8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总体公开情况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lang w:eastAsia="zh-CN"/>
        </w:rPr>
      </w:pPr>
      <w:r>
        <w:rPr>
          <w:rFonts w:hint="eastAsia"/>
          <w:lang w:eastAsia="zh-CN"/>
        </w:rPr>
        <w:t>认真贯彻落实贯彻落实《国务院办公厅关于印发2017年政务公开工作要点的通知》、《阜新市人民政府办公室印发关于贯彻落实国务院办公厅</w:t>
      </w:r>
      <w:r>
        <w:rPr>
          <w:rFonts w:hint="eastAsia"/>
          <w:lang w:val="en-US" w:eastAsia="zh-CN"/>
        </w:rPr>
        <w:t>&lt;</w:t>
      </w:r>
      <w:r>
        <w:rPr>
          <w:rFonts w:hint="eastAsia"/>
          <w:lang w:eastAsia="zh-CN"/>
        </w:rPr>
        <w:t>2017年政务公开工作要点</w:t>
      </w:r>
      <w:r>
        <w:rPr>
          <w:rFonts w:hint="eastAsia"/>
          <w:lang w:val="en-US" w:eastAsia="zh-CN"/>
        </w:rPr>
        <w:t>&gt;</w:t>
      </w:r>
      <w:r>
        <w:rPr>
          <w:rFonts w:hint="eastAsia"/>
          <w:lang w:eastAsia="zh-CN"/>
        </w:rPr>
        <w:t>工作安排的通知》和《细河区人民政府办公室关于贯彻落实国务院办公厅&lt;2017 年政务公开工作要点&gt;工作安排的通知》的安排部署。</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8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主动公开政府信息情况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全年主动公开政府信息246条。其中，规范性文件6份，工作动态61条，人事信息26条，微信公众号信息154条。 </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8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重点领域政府信息公开工作情况</w:t>
      </w:r>
    </w:p>
    <w:p>
      <w:pPr>
        <w:keepNext w:val="0"/>
        <w:keepLines w:val="0"/>
        <w:pageBreakBefore w:val="0"/>
        <w:numPr>
          <w:ilvl w:val="0"/>
          <w:numId w:val="2"/>
        </w:numPr>
        <w:tabs>
          <w:tab w:val="center" w:pos="4218"/>
          <w:tab w:val="right" w:pos="8306"/>
        </w:tabs>
        <w:kinsoku/>
        <w:wordWrap/>
        <w:overflowPunct/>
        <w:topLinePunct w:val="0"/>
        <w:autoSpaceDE/>
        <w:autoSpaceDN/>
        <w:bidi w:val="0"/>
        <w:adjustRightInd/>
        <w:snapToGrid/>
        <w:spacing w:line="590" w:lineRule="exact"/>
        <w:ind w:left="0" w:leftChars="0" w:right="0" w:rightChars="0" w:firstLine="683" w:firstLineChars="200"/>
        <w:jc w:val="left"/>
        <w:textAlignment w:val="auto"/>
        <w:rPr>
          <w:rFonts w:hint="eastAsia" w:ascii="楷体" w:hAnsi="楷体" w:eastAsia="楷体" w:cs="楷体"/>
          <w:b/>
          <w:bCs/>
          <w:sz w:val="34"/>
          <w:szCs w:val="34"/>
          <w:lang w:val="en-US" w:eastAsia="zh-CN"/>
        </w:rPr>
      </w:pPr>
      <w:r>
        <w:rPr>
          <w:rFonts w:hint="eastAsia" w:ascii="楷体" w:hAnsi="楷体" w:eastAsia="楷体" w:cs="楷体"/>
          <w:b/>
          <w:bCs/>
          <w:sz w:val="34"/>
          <w:szCs w:val="34"/>
          <w:lang w:val="en-US" w:eastAsia="zh-CN"/>
        </w:rPr>
        <w:t>完善体制机制</w:t>
      </w:r>
    </w:p>
    <w:p>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深化财税体制改革，完善财政管理体系。由于六家子管委会没有设立财税所，任务完成情况包含于四合镇财税数据中，房产税、土地使用税任务共230万元。</w:t>
      </w:r>
    </w:p>
    <w:p>
      <w:pPr>
        <w:keepNext w:val="0"/>
        <w:keepLines w:val="0"/>
        <w:pageBreakBefore w:val="0"/>
        <w:widowControl/>
        <w:numPr>
          <w:ilvl w:val="0"/>
          <w:numId w:val="2"/>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leftChars="0" w:right="0" w:rightChars="0" w:firstLine="683" w:firstLineChars="200"/>
        <w:jc w:val="both"/>
        <w:textAlignment w:val="auto"/>
        <w:rPr>
          <w:rFonts w:hint="eastAsia" w:ascii="楷体" w:hAnsi="楷体" w:eastAsia="楷体" w:cs="楷体"/>
          <w:b/>
          <w:bCs/>
          <w:sz w:val="34"/>
          <w:szCs w:val="34"/>
          <w:lang w:val="en-US" w:eastAsia="zh-CN"/>
        </w:rPr>
      </w:pPr>
      <w:r>
        <w:rPr>
          <w:rFonts w:hint="eastAsia" w:ascii="楷体" w:hAnsi="楷体" w:eastAsia="楷体" w:cs="楷体"/>
          <w:b/>
          <w:bCs/>
          <w:sz w:val="34"/>
          <w:szCs w:val="34"/>
          <w:lang w:val="en-US" w:eastAsia="zh-CN"/>
        </w:rPr>
        <w:t>落实制度建设</w:t>
      </w:r>
    </w:p>
    <w:p>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eastAsia="zh-CN"/>
        </w:rPr>
        <w:t>起草制定《</w:t>
      </w:r>
      <w:r>
        <w:rPr>
          <w:rFonts w:hint="eastAsia" w:ascii="仿宋_GB2312" w:hAnsi="仿宋_GB2312" w:eastAsia="仿宋_GB2312" w:cs="仿宋_GB2312"/>
          <w:kern w:val="0"/>
          <w:sz w:val="32"/>
          <w:szCs w:val="32"/>
          <w:lang w:val="en-US" w:eastAsia="zh-CN" w:bidi="ar"/>
        </w:rPr>
        <w:t>细河区六家子管委会防火、防汛应急预案》、《群体性上访事</w:t>
      </w:r>
      <w:r>
        <w:rPr>
          <w:rFonts w:hint="eastAsia" w:ascii="仿宋_GB2312" w:hAnsi="仿宋_GB2312" w:eastAsia="仿宋_GB2312" w:cs="仿宋_GB2312"/>
          <w:sz w:val="32"/>
          <w:szCs w:val="32"/>
          <w:lang w:val="en-US" w:eastAsia="zh-CN"/>
        </w:rPr>
        <w:t>件处置应急预案》、《档案管理制度》等方案。并完善了财务管理、考勤、会议纪律、机关学习等制度，把各项管理制度延伸到日常工作的各个环节，着力抵制各种不良风气的滋生。</w:t>
      </w:r>
    </w:p>
    <w:p>
      <w:pPr>
        <w:keepNext w:val="0"/>
        <w:keepLines w:val="0"/>
        <w:pageBreakBefore w:val="0"/>
        <w:widowControl/>
        <w:numPr>
          <w:ilvl w:val="0"/>
          <w:numId w:val="2"/>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leftChars="0" w:right="0" w:rightChars="0" w:firstLine="683" w:firstLineChars="200"/>
        <w:jc w:val="both"/>
        <w:textAlignment w:val="auto"/>
        <w:rPr>
          <w:rFonts w:hint="eastAsia" w:ascii="楷体" w:hAnsi="楷体" w:eastAsia="楷体" w:cs="楷体"/>
          <w:b/>
          <w:bCs/>
          <w:sz w:val="34"/>
          <w:szCs w:val="34"/>
          <w:lang w:val="en-US" w:eastAsia="zh-CN"/>
        </w:rPr>
      </w:pPr>
      <w:r>
        <w:rPr>
          <w:rFonts w:hint="eastAsia" w:ascii="楷体" w:hAnsi="楷体" w:eastAsia="楷体" w:cs="楷体"/>
          <w:b/>
          <w:bCs/>
          <w:sz w:val="34"/>
          <w:szCs w:val="34"/>
          <w:lang w:val="en-US" w:eastAsia="zh-CN"/>
        </w:rPr>
        <w:t>加强经济建设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firstLine="680" w:firstLineChars="200"/>
        <w:jc w:val="both"/>
        <w:textAlignment w:val="auto"/>
        <w:outlineLvl w:val="9"/>
        <w:rPr>
          <w:rFonts w:hint="eastAsia" w:ascii="仿宋_GB2312" w:hAnsi="仿宋_GB2312" w:eastAsia="仿宋_GB2312" w:cs="仿宋_GB2312"/>
          <w:lang w:eastAsia="zh-CN"/>
        </w:rPr>
      </w:pPr>
      <w:r>
        <w:rPr>
          <w:rFonts w:hint="eastAsia" w:ascii="仿宋" w:hAnsi="仿宋" w:eastAsia="仿宋" w:cs="仿宋"/>
          <w:color w:val="auto"/>
          <w:kern w:val="2"/>
          <w:sz w:val="34"/>
          <w:szCs w:val="34"/>
          <w:lang w:val="en-US" w:eastAsia="zh-CN" w:bidi="ar-SA"/>
        </w:rPr>
        <w:t>确实帮助各企业项目在立项、报批、筹备、建设等过程中出现的问题，了解项目建设情况，确保项目进展顺利。</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截至目前，已完成固定资产投资</w:t>
      </w:r>
      <w:r>
        <w:rPr>
          <w:rFonts w:hint="eastAsia" w:ascii="仿宋_GB2312" w:hAnsi="仿宋_GB2312" w:eastAsia="仿宋_GB2312" w:cs="仿宋_GB2312"/>
          <w:lang w:val="en-US" w:eastAsia="zh-CN"/>
        </w:rPr>
        <w:t>3.89</w:t>
      </w:r>
      <w:r>
        <w:rPr>
          <w:rFonts w:hint="eastAsia" w:ascii="仿宋_GB2312" w:hAnsi="仿宋_GB2312" w:eastAsia="仿宋_GB2312" w:cs="仿宋_GB2312"/>
          <w:lang w:eastAsia="zh-CN"/>
        </w:rPr>
        <w:t>亿元（任务2.3亿），完成全年的</w:t>
      </w:r>
      <w:r>
        <w:rPr>
          <w:rFonts w:hint="eastAsia" w:ascii="仿宋_GB2312" w:hAnsi="仿宋_GB2312" w:eastAsia="仿宋_GB2312" w:cs="仿宋_GB2312"/>
          <w:lang w:val="en-US" w:eastAsia="zh-CN"/>
        </w:rPr>
        <w:t>170</w:t>
      </w:r>
      <w:r>
        <w:rPr>
          <w:rFonts w:hint="eastAsia" w:ascii="仿宋_GB2312" w:hAnsi="仿宋_GB2312" w:eastAsia="仿宋_GB2312" w:cs="仿宋_GB2312"/>
          <w:lang w:eastAsia="zh-CN"/>
        </w:rPr>
        <w:t xml:space="preserve">%；新开工亿元项目：银通地产项目；招商引资已完成3000万元（任务1000万元)完成300%。 </w:t>
      </w:r>
    </w:p>
    <w:p>
      <w:pPr>
        <w:keepNext w:val="0"/>
        <w:keepLines w:val="0"/>
        <w:pageBreakBefore w:val="0"/>
        <w:widowControl/>
        <w:numPr>
          <w:ilvl w:val="0"/>
          <w:numId w:val="2"/>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leftChars="0" w:right="0" w:rightChars="0" w:firstLine="683" w:firstLineChars="200"/>
        <w:jc w:val="both"/>
        <w:textAlignment w:val="auto"/>
        <w:rPr>
          <w:rFonts w:hint="eastAsia" w:ascii="楷体" w:hAnsi="楷体" w:eastAsia="楷体" w:cs="楷体"/>
          <w:b/>
          <w:bCs/>
          <w:sz w:val="34"/>
          <w:szCs w:val="34"/>
          <w:lang w:val="en-US" w:eastAsia="zh-CN"/>
        </w:rPr>
      </w:pPr>
      <w:r>
        <w:rPr>
          <w:rFonts w:hint="eastAsia" w:ascii="楷体" w:hAnsi="楷体" w:eastAsia="楷体" w:cs="楷体"/>
          <w:b/>
          <w:bCs/>
          <w:sz w:val="34"/>
          <w:szCs w:val="34"/>
          <w:lang w:val="en-US" w:eastAsia="zh-CN"/>
        </w:rPr>
        <w:t>推进民生工作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劳动力资源录入3212人</w:t>
      </w:r>
      <w:r>
        <w:rPr>
          <w:rFonts w:hint="eastAsia" w:ascii="仿宋_GB2312" w:hAnsi="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新增创业带头人3人</w:t>
      </w:r>
      <w:r>
        <w:rPr>
          <w:rFonts w:hint="eastAsia" w:ascii="仿宋_GB2312" w:hAnsi="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带动就业18人</w:t>
      </w:r>
      <w:r>
        <w:rPr>
          <w:rFonts w:hint="eastAsia" w:ascii="仿宋_GB2312" w:hAnsi="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为690人审核两业证，新办失业证55本</w:t>
      </w:r>
      <w:r>
        <w:rPr>
          <w:rFonts w:hint="eastAsia" w:ascii="仿宋_GB2312" w:hAnsi="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；进行</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“一卡通”信息采集</w:t>
      </w:r>
      <w:r>
        <w:rPr>
          <w:rFonts w:hint="eastAsia" w:ascii="仿宋_GB2312" w:hAnsi="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共计</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5574人</w:t>
      </w:r>
      <w:r>
        <w:rPr>
          <w:rFonts w:hint="eastAsia" w:ascii="仿宋_GB2312" w:hAnsi="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领取生活补助金剩余323人，其中新增1人，办理归社保退休36人</w:t>
      </w:r>
      <w:r>
        <w:rPr>
          <w:rFonts w:hint="eastAsia" w:ascii="仿宋_GB2312" w:hAnsi="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为9人办理丧葬抚恤金。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全面实现保障对象公开化，操作程序规范化，保障办法多样化，保障资金发放社会化。进一步完善了申请、审核程序，做到了应保尽保，加大了核实力度，做到了应退尽退，在管理上进一步深化管理，提高服务水平。截止到6月，现有低保户342户，684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针对有一级残疾证和二级残疾证的低保户和社会居民，做统计并给予困难补贴。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cs="仿宋_GB2312"/>
          <w:lang w:val="en-US" w:eastAsia="zh-CN"/>
        </w:rPr>
        <w:t>4、办理生育登记88人，新登记特别扶助家庭2人，特别扶助家庭新增1户。</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（五）抓好安全生产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坚持“安全第一，预防为主”的方针，深入开展安全生产的宣传教育和安全生产检查，全年针对饭店、网吧等场所共进行5次安全大检查，对辖区所属的祥宇玉品、银通地产等建筑项目进行4次巡查，对辖区内所属227家经营单位进行定期检查、排查、整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同时，为加强安全生产长效机制，严格落实安全生产法规和标准，坚决防止发生重特大生产安全事故，特制定六家子管委会安全生产工作计划，每月开展一次小检查，每个节假日开展一次联合大检查，切实抓好整治工作。</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8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推进“互联网+政务服务”工作情况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cs="仿宋_GB2312"/>
          <w:sz w:val="34"/>
          <w:szCs w:val="34"/>
          <w:lang w:val="en-US" w:eastAsia="zh-CN"/>
        </w:rPr>
        <w:t>积极做好辖区内</w:t>
      </w:r>
      <w:r>
        <w:rPr>
          <w:rFonts w:hint="eastAsia" w:ascii="仿宋_GB2312" w:hAnsi="仿宋_GB2312" w:eastAsia="仿宋_GB2312" w:cs="仿宋_GB2312"/>
          <w:sz w:val="34"/>
          <w:szCs w:val="34"/>
          <w:lang w:val="en-US" w:eastAsia="zh-CN"/>
        </w:rPr>
        <w:t>华唐大数据服务外包基地</w:t>
      </w:r>
      <w:r>
        <w:rPr>
          <w:rFonts w:hint="eastAsia" w:ascii="仿宋_GB2312" w:hAnsi="仿宋_GB2312" w:cs="仿宋_GB2312"/>
          <w:sz w:val="34"/>
          <w:szCs w:val="34"/>
          <w:lang w:val="en-US" w:eastAsia="zh-CN"/>
        </w:rPr>
        <w:t>的推进工作</w:t>
      </w:r>
      <w:r>
        <w:rPr>
          <w:rFonts w:hint="eastAsia" w:ascii="仿宋_GB2312" w:hAnsi="仿宋_GB2312" w:eastAsia="仿宋_GB2312" w:cs="仿宋_GB2312"/>
          <w:sz w:val="34"/>
          <w:szCs w:val="34"/>
          <w:lang w:val="en-US" w:eastAsia="zh-CN"/>
        </w:rPr>
        <w:t>，华唐大数据服务外包基地于</w:t>
      </w:r>
      <w:r>
        <w:rPr>
          <w:rFonts w:hint="eastAsia" w:ascii="仿宋_GB2312" w:hAnsi="仿宋_GB2312" w:cs="仿宋_GB2312"/>
          <w:sz w:val="34"/>
          <w:szCs w:val="34"/>
          <w:lang w:val="en-US" w:eastAsia="zh-CN"/>
        </w:rPr>
        <w:t>2017年</w:t>
      </w:r>
      <w:r>
        <w:rPr>
          <w:rFonts w:hint="eastAsia" w:ascii="仿宋_GB2312" w:hAnsi="仿宋_GB2312" w:eastAsia="仿宋_GB2312" w:cs="仿宋_GB2312"/>
          <w:sz w:val="34"/>
          <w:szCs w:val="34"/>
          <w:lang w:val="en-US" w:eastAsia="zh-CN"/>
        </w:rPr>
        <w:t>被一家建筑企业收购，现华唐大数据服务外包基地作为一家子公司正常运行。总席位1000人，现运行300人。</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8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建议提案办理结果公开情况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80" w:firstLineChars="200"/>
        <w:jc w:val="both"/>
        <w:textAlignment w:val="auto"/>
        <w:outlineLvl w:val="9"/>
        <w:rPr>
          <w:rFonts w:hint="eastAsia" w:ascii="仿宋_GB2312" w:hAnsi="仿宋_GB2312" w:cs="仿宋_GB2312"/>
          <w:sz w:val="34"/>
          <w:szCs w:val="34"/>
          <w:lang w:val="en-US" w:eastAsia="zh-CN"/>
        </w:rPr>
      </w:pPr>
      <w:r>
        <w:rPr>
          <w:rFonts w:hint="eastAsia" w:ascii="仿宋_GB2312" w:hAnsi="仿宋_GB2312" w:cs="仿宋_GB2312"/>
          <w:sz w:val="34"/>
          <w:szCs w:val="34"/>
          <w:lang w:val="en-US" w:eastAsia="zh-CN"/>
        </w:rPr>
        <w:t>针对政协委员的建议提案，管委会高度重视，并及时做出答复和整改。</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8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开展政策解读情况</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80" w:firstLineChars="200"/>
        <w:jc w:val="both"/>
        <w:textAlignment w:val="auto"/>
        <w:outlineLvl w:val="9"/>
        <w:rPr>
          <w:rFonts w:hint="eastAsia" w:ascii="仿宋_GB2312" w:hAnsi="仿宋_GB2312" w:cs="仿宋_GB2312"/>
          <w:sz w:val="34"/>
          <w:szCs w:val="34"/>
          <w:lang w:val="en-US" w:eastAsia="zh-CN"/>
        </w:rPr>
      </w:pPr>
      <w:r>
        <w:rPr>
          <w:rFonts w:hint="eastAsia" w:ascii="仿宋_GB2312" w:hAnsi="仿宋_GB2312" w:cs="仿宋_GB2312"/>
          <w:sz w:val="34"/>
          <w:szCs w:val="34"/>
          <w:lang w:val="en-US" w:eastAsia="zh-CN"/>
        </w:rPr>
        <w:t>一是</w:t>
      </w:r>
      <w:r>
        <w:rPr>
          <w:rFonts w:hint="eastAsia" w:ascii="仿宋_GB2312" w:hAnsi="仿宋_GB2312" w:eastAsia="仿宋_GB2312" w:cs="仿宋_GB2312"/>
          <w:sz w:val="34"/>
          <w:szCs w:val="34"/>
          <w:lang w:val="en-US" w:eastAsia="zh-CN"/>
        </w:rPr>
        <w:t>把握正确</w:t>
      </w:r>
      <w:r>
        <w:rPr>
          <w:rFonts w:hint="eastAsia" w:ascii="仿宋_GB2312" w:hAnsi="仿宋_GB2312" w:cs="仿宋_GB2312"/>
          <w:sz w:val="34"/>
          <w:szCs w:val="34"/>
          <w:lang w:val="en-US" w:eastAsia="zh-CN"/>
        </w:rPr>
        <w:t>的</w:t>
      </w:r>
      <w:r>
        <w:rPr>
          <w:rFonts w:hint="eastAsia" w:ascii="仿宋_GB2312" w:hAnsi="仿宋_GB2312" w:eastAsia="仿宋_GB2312" w:cs="仿宋_GB2312"/>
          <w:sz w:val="34"/>
          <w:szCs w:val="34"/>
          <w:lang w:val="en-US" w:eastAsia="zh-CN"/>
        </w:rPr>
        <w:t>网络舆论导向，利用微信、QQ等互动平台，积极宣传党的路线、方针、政策，引导广大党员干部和居民群众把思想统一到党的各项决策部署上来；二是加强理论宣讲。通过网格化理论宣讲，教育和引导党员群众树立中国特色社会主义理想信念和正确的世界观、人生观和价值观；三是宣传和弘扬社会主义核心价值观。通过贴海报、宣传栏、发放宣传资料等多种形式，加强社会主义核心价值观和中国梦宣传教育，大力弘扬民族精神和时代精神</w:t>
      </w:r>
      <w:r>
        <w:rPr>
          <w:rFonts w:hint="eastAsia" w:ascii="仿宋_GB2312" w:hAnsi="仿宋_GB2312" w:cs="仿宋_GB2312"/>
          <w:sz w:val="34"/>
          <w:szCs w:val="34"/>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8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存在的问题和整改情况</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80" w:firstLineChars="200"/>
        <w:jc w:val="both"/>
        <w:textAlignment w:val="auto"/>
        <w:outlineLvl w:val="9"/>
        <w:rPr>
          <w:rFonts w:hint="eastAsia" w:ascii="仿宋_GB2312" w:hAnsi="仿宋_GB2312" w:cs="仿宋_GB2312"/>
          <w:sz w:val="34"/>
          <w:szCs w:val="34"/>
          <w:lang w:val="en-US" w:eastAsia="zh-CN"/>
        </w:rPr>
      </w:pPr>
      <w:r>
        <w:rPr>
          <w:rFonts w:hint="eastAsia" w:ascii="仿宋_GB2312" w:hAnsi="仿宋_GB2312" w:cs="仿宋_GB2312"/>
          <w:sz w:val="34"/>
          <w:szCs w:val="34"/>
          <w:lang w:val="en-US" w:eastAsia="zh-CN"/>
        </w:rPr>
        <w:t>2017年,六家子管委会在推进政务公开工作中虽然取得了一定成效,但对照《中华人民共和国政府信息公开条例》以及市、区相关工作要求,仍存在一定的差距。主要是公开的政府信息缺乏行业部门的指导,规范性有待进一步提高;规范性文件的公开力度有待加强;信息公开的渠道需要进一步拓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80" w:firstLineChars="200"/>
        <w:jc w:val="both"/>
        <w:textAlignment w:val="auto"/>
        <w:outlineLvl w:val="9"/>
        <w:rPr>
          <w:rFonts w:hint="eastAsia" w:ascii="仿宋_GB2312" w:hAnsi="仿宋_GB2312" w:cs="仿宋_GB2312"/>
          <w:sz w:val="34"/>
          <w:szCs w:val="34"/>
          <w:lang w:val="en-US" w:eastAsia="zh-CN"/>
        </w:rPr>
      </w:pPr>
      <w:r>
        <w:rPr>
          <w:rFonts w:hint="eastAsia" w:ascii="仿宋_GB2312" w:hAnsi="仿宋_GB2312" w:cs="仿宋_GB2312"/>
          <w:sz w:val="34"/>
          <w:szCs w:val="34"/>
          <w:lang w:val="en-US" w:eastAsia="zh-CN"/>
        </w:rPr>
        <w:t>2018年,六家子管委会将继续按照各级政府对政务公开工作的相关要求,不断完善相关制度建设,全力做好政务公开工作。一是不断完善政务公开各项制度,确保工作制度化、规范化,深入、持续、高效地开展政务公开工作。二是进一步加强政务公开机制和平台建设,发挥网站、微博、微信、网络新闻联播等媒体的信息公开服务作用。三是突出重点,紧贴公众信息需求,加大社会工作普遍关注的行政权力运行、财政资金使用、公共资源配置等重点领域信息公开。</w:t>
      </w:r>
    </w:p>
    <w:p>
      <w:pPr>
        <w:keepNext w:val="0"/>
        <w:keepLines w:val="0"/>
        <w:pageBreakBefore w:val="0"/>
        <w:kinsoku/>
        <w:wordWrap/>
        <w:overflowPunct/>
        <w:topLinePunct w:val="0"/>
        <w:autoSpaceDE/>
        <w:autoSpaceDN/>
        <w:bidi w:val="0"/>
        <w:adjustRightInd/>
        <w:snapToGrid/>
        <w:spacing w:line="590" w:lineRule="exact"/>
        <w:ind w:right="0" w:rightChars="0"/>
        <w:jc w:val="both"/>
        <w:textAlignment w:val="auto"/>
        <w:rPr>
          <w:rFonts w:hint="eastAsia" w:ascii="仿宋_GB2312" w:hAnsi="仿宋_GB2312" w:eastAsia="仿宋_GB2312" w:cs="仿宋_GB2312"/>
          <w:lang w:val="en-US" w:eastAsia="zh-CN"/>
        </w:rPr>
      </w:pPr>
      <w:bookmarkStart w:id="0" w:name="_GoBack"/>
      <w:bookmarkEnd w:id="0"/>
    </w:p>
    <w:sectPr>
      <w:footerReference r:id="rId3" w:type="default"/>
      <w:pgSz w:w="11906" w:h="16838"/>
      <w:pgMar w:top="1928" w:right="1474" w:bottom="1701" w:left="1474" w:header="851"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rPr>
                              <w:rFonts w:hint="eastAsia" w:ascii="Batang" w:hAnsi="Batang" w:eastAsia="Batang" w:cs="Batang"/>
                              <w:sz w:val="28"/>
                              <w:szCs w:val="28"/>
                              <w:lang w:eastAsia="zh-CN"/>
                            </w:rPr>
                            <w:t>1</w:t>
                          </w:r>
                          <w:r>
                            <w:rPr>
                              <w:rFonts w:hint="eastAsia" w:ascii="Batang" w:hAnsi="Batang" w:eastAsia="Batang" w:cs="Batang"/>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rPr>
                        <w:rFonts w:hint="eastAsia" w:ascii="Batang" w:hAnsi="Batang" w:eastAsia="Batang" w:cs="Batang"/>
                        <w:sz w:val="28"/>
                        <w:szCs w:val="28"/>
                        <w:lang w:eastAsia="zh-CN"/>
                      </w:rPr>
                      <w:t>1</w:t>
                    </w:r>
                    <w:r>
                      <w:rPr>
                        <w:rFonts w:hint="eastAsia" w:ascii="Batang" w:hAnsi="Batang" w:eastAsia="Batang" w:cs="Batang"/>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8F9B1"/>
    <w:multiLevelType w:val="singleLevel"/>
    <w:tmpl w:val="5AA8F9B1"/>
    <w:lvl w:ilvl="0" w:tentative="0">
      <w:start w:val="1"/>
      <w:numFmt w:val="chineseCounting"/>
      <w:suff w:val="nothing"/>
      <w:lvlText w:val="%1、"/>
      <w:lvlJc w:val="left"/>
    </w:lvl>
  </w:abstractNum>
  <w:abstractNum w:abstractNumId="1">
    <w:nsid w:val="5AA9CD38"/>
    <w:multiLevelType w:val="singleLevel"/>
    <w:tmpl w:val="5AA9CD3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C0EE2"/>
    <w:rsid w:val="01663CE7"/>
    <w:rsid w:val="03016D4D"/>
    <w:rsid w:val="03283125"/>
    <w:rsid w:val="03D65C00"/>
    <w:rsid w:val="068B588D"/>
    <w:rsid w:val="087C6B20"/>
    <w:rsid w:val="09FF14C6"/>
    <w:rsid w:val="0DF43B71"/>
    <w:rsid w:val="0EB16FF6"/>
    <w:rsid w:val="0F363CCF"/>
    <w:rsid w:val="0FC7181B"/>
    <w:rsid w:val="0FE42601"/>
    <w:rsid w:val="0FF9656E"/>
    <w:rsid w:val="105F4D51"/>
    <w:rsid w:val="11B6220D"/>
    <w:rsid w:val="14070596"/>
    <w:rsid w:val="153535CE"/>
    <w:rsid w:val="154F31C2"/>
    <w:rsid w:val="156B0FF6"/>
    <w:rsid w:val="1F7D129F"/>
    <w:rsid w:val="20BD1EE9"/>
    <w:rsid w:val="22EA0002"/>
    <w:rsid w:val="234054A0"/>
    <w:rsid w:val="23803EEB"/>
    <w:rsid w:val="242B6FA2"/>
    <w:rsid w:val="28924644"/>
    <w:rsid w:val="2C3E2245"/>
    <w:rsid w:val="2F9305F1"/>
    <w:rsid w:val="310640A5"/>
    <w:rsid w:val="31647518"/>
    <w:rsid w:val="36B63C42"/>
    <w:rsid w:val="38BD7038"/>
    <w:rsid w:val="38E54AC1"/>
    <w:rsid w:val="3B926D05"/>
    <w:rsid w:val="3C9F5019"/>
    <w:rsid w:val="3EC453B6"/>
    <w:rsid w:val="3F3C0EE2"/>
    <w:rsid w:val="3FCC2C21"/>
    <w:rsid w:val="41CA042E"/>
    <w:rsid w:val="433F2FA3"/>
    <w:rsid w:val="44C36F93"/>
    <w:rsid w:val="45EF4125"/>
    <w:rsid w:val="462867C6"/>
    <w:rsid w:val="4C390CC8"/>
    <w:rsid w:val="4C875130"/>
    <w:rsid w:val="4E783044"/>
    <w:rsid w:val="4EF311AE"/>
    <w:rsid w:val="52BB556F"/>
    <w:rsid w:val="52D36FBC"/>
    <w:rsid w:val="56025798"/>
    <w:rsid w:val="582C766B"/>
    <w:rsid w:val="5BB04CB4"/>
    <w:rsid w:val="5F40431E"/>
    <w:rsid w:val="61C042C9"/>
    <w:rsid w:val="62CD3BEA"/>
    <w:rsid w:val="635B6815"/>
    <w:rsid w:val="66622B37"/>
    <w:rsid w:val="66A331FE"/>
    <w:rsid w:val="67D22B02"/>
    <w:rsid w:val="68122D43"/>
    <w:rsid w:val="6AA21D61"/>
    <w:rsid w:val="70DA075D"/>
    <w:rsid w:val="71052494"/>
    <w:rsid w:val="726247D7"/>
    <w:rsid w:val="74B45A7A"/>
    <w:rsid w:val="79694857"/>
    <w:rsid w:val="7A567F2E"/>
    <w:rsid w:val="7CEA6E64"/>
    <w:rsid w:val="7DA41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b/>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FollowedHyperlink"/>
    <w:basedOn w:val="6"/>
    <w:qFormat/>
    <w:uiPriority w:val="0"/>
    <w:rPr>
      <w:color w:val="000000"/>
      <w:u w:val="none"/>
    </w:rPr>
  </w:style>
  <w:style w:type="character" w:styleId="8">
    <w:name w:val="Emphasis"/>
    <w:basedOn w:val="6"/>
    <w:qFormat/>
    <w:uiPriority w:val="0"/>
  </w:style>
  <w:style w:type="character" w:styleId="9">
    <w:name w:val="Hyperlink"/>
    <w:basedOn w:val="6"/>
    <w:qFormat/>
    <w:uiPriority w:val="0"/>
    <w:rPr>
      <w:color w:val="000000"/>
      <w:u w:val="none"/>
    </w:rPr>
  </w:style>
  <w:style w:type="character" w:customStyle="1" w:styleId="11">
    <w:name w:val="apple-converted-space"/>
    <w:basedOn w:val="6"/>
    <w:qFormat/>
    <w:uiPriority w:val="0"/>
  </w:style>
  <w:style w:type="character" w:customStyle="1" w:styleId="12">
    <w:name w:val="zw"/>
    <w:basedOn w:val="6"/>
    <w:qFormat/>
    <w:uiPriority w:val="0"/>
  </w:style>
  <w:style w:type="character" w:customStyle="1" w:styleId="13">
    <w:name w:val="act"/>
    <w:basedOn w:val="6"/>
    <w:qFormat/>
    <w:uiPriority w:val="0"/>
    <w:rPr>
      <w:color w:val="FFFFFF"/>
      <w:shd w:val="clear" w:fill="0C62B1"/>
    </w:rPr>
  </w:style>
  <w:style w:type="character" w:customStyle="1" w:styleId="14">
    <w:name w:val="act1"/>
    <w:basedOn w:val="6"/>
    <w:qFormat/>
    <w:uiPriority w:val="0"/>
    <w:rPr>
      <w:color w:val="FFFFFF"/>
      <w:shd w:val="clear" w:fill="0C62B1"/>
    </w:rPr>
  </w:style>
  <w:style w:type="character" w:customStyle="1" w:styleId="15">
    <w:name w:val="spn-time"/>
    <w:basedOn w:val="6"/>
    <w:qFormat/>
    <w:uiPriority w:val="0"/>
    <w:rPr>
      <w:color w:val="A8A3A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2017-11-22T02:07:00Z</dcterms:created>
  <dc:creator>薛羽晴</dc:creator>
  <cp:lastModifiedBy>荔</cp:lastModifiedBy>
  <cp:lastPrinted>2018-03-14T10:18:00Z</cp:lastPrinted>
  <dcterms:modified xsi:type="dcterms:W3CDTF">2018-04-03T07:48:47Z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