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326008">
      <w:pPr>
        <w:widowControl w:val="0"/>
        <w:spacing w:line="576" w:lineRule="exact"/>
        <w:rPr>
          <w:rFonts w:eastAsia="黑体"/>
          <w:sz w:val="32"/>
          <w:szCs w:val="32"/>
        </w:rPr>
      </w:pPr>
      <w:bookmarkStart w:id="3" w:name="_GoBack"/>
      <w:bookmarkEnd w:id="3"/>
      <w:r>
        <w:rPr>
          <w:rFonts w:eastAsia="黑体"/>
          <w:sz w:val="32"/>
          <w:szCs w:val="32"/>
        </w:rPr>
        <w:t>附件1</w:t>
      </w:r>
    </w:p>
    <w:p w14:paraId="3FE6F15F">
      <w:pPr>
        <w:widowControl w:val="0"/>
        <w:spacing w:line="576" w:lineRule="exact"/>
        <w:jc w:val="center"/>
        <w:rPr>
          <w:b/>
          <w:bCs/>
          <w:kern w:val="2"/>
          <w:sz w:val="44"/>
          <w:szCs w:val="44"/>
        </w:rPr>
      </w:pPr>
      <w:bookmarkStart w:id="0" w:name="_Toc26437937"/>
      <w:bookmarkStart w:id="1" w:name="_Toc26438089"/>
      <w:bookmarkStart w:id="2" w:name="_Toc26450801"/>
      <w:r>
        <w:rPr>
          <w:b/>
          <w:bCs/>
          <w:kern w:val="2"/>
          <w:sz w:val="44"/>
          <w:szCs w:val="44"/>
        </w:rPr>
        <w:t>2024-2026年辽宁省农机购置与应用</w:t>
      </w:r>
    </w:p>
    <w:p w14:paraId="7E03BEC5">
      <w:pPr>
        <w:widowControl w:val="0"/>
        <w:spacing w:line="576" w:lineRule="exact"/>
        <w:jc w:val="center"/>
        <w:rPr>
          <w:b/>
          <w:bCs/>
          <w:kern w:val="2"/>
          <w:sz w:val="44"/>
          <w:szCs w:val="44"/>
        </w:rPr>
      </w:pPr>
      <w:r>
        <w:rPr>
          <w:b/>
          <w:bCs/>
          <w:kern w:val="2"/>
          <w:sz w:val="44"/>
          <w:szCs w:val="44"/>
        </w:rPr>
        <w:t>补贴实施操作要求</w:t>
      </w:r>
    </w:p>
    <w:p w14:paraId="1AE16402">
      <w:pPr>
        <w:widowControl w:val="0"/>
        <w:spacing w:line="576" w:lineRule="exact"/>
        <w:ind w:firstLine="640" w:firstLineChars="200"/>
        <w:rPr>
          <w:rFonts w:eastAsia="CESI黑体-GB2312"/>
          <w:kern w:val="2"/>
          <w:sz w:val="32"/>
          <w:szCs w:val="32"/>
        </w:rPr>
      </w:pPr>
    </w:p>
    <w:p w14:paraId="47C08E41">
      <w:pPr>
        <w:widowControl w:val="0"/>
        <w:spacing w:line="576" w:lineRule="exact"/>
        <w:ind w:firstLine="640" w:firstLineChars="200"/>
        <w:rPr>
          <w:rFonts w:eastAsia="黑体"/>
          <w:kern w:val="2"/>
          <w:sz w:val="32"/>
          <w:szCs w:val="32"/>
        </w:rPr>
      </w:pPr>
      <w:r>
        <w:rPr>
          <w:rFonts w:eastAsia="黑体"/>
          <w:kern w:val="2"/>
          <w:sz w:val="32"/>
          <w:szCs w:val="32"/>
        </w:rPr>
        <w:t>一、基本原则</w:t>
      </w:r>
    </w:p>
    <w:p w14:paraId="1D1C06F6">
      <w:pPr>
        <w:widowControl w:val="0"/>
        <w:spacing w:line="576" w:lineRule="exact"/>
        <w:ind w:firstLine="640" w:firstLineChars="200"/>
        <w:rPr>
          <w:rFonts w:eastAsia="仿宋_GB2312"/>
          <w:kern w:val="2"/>
          <w:sz w:val="32"/>
          <w:szCs w:val="32"/>
        </w:rPr>
      </w:pPr>
      <w:r>
        <w:rPr>
          <w:rFonts w:eastAsia="仿宋_GB2312"/>
          <w:kern w:val="2"/>
          <w:sz w:val="32"/>
          <w:szCs w:val="32"/>
        </w:rPr>
        <w:t>农机购置与应用补贴政策按照“自主购机、定额补贴、先购后补、县级结算、直补到卡（户）”方式实施。购机者自主选择购买机具，按市场化原则自行与农机产销企业协商确定购机价格与支付方式，原则上购机价格在5000元以上的鼓励非现金方式支付购机款，并对交易行为真实性、有效性和可能发生的纠纷承担法律责任。购机行为完成后，购机者自主向当地农业农村部门提出补贴资金申领事项，签署告知承诺书，承诺购买行为、发票购机价格等信息真实有效，按相关规定申办补贴。购机者对其购置的补贴机具拥有所有权，自主使用，可依法处置。</w:t>
      </w:r>
    </w:p>
    <w:p w14:paraId="5FD3FC69">
      <w:pPr>
        <w:widowControl w:val="0"/>
        <w:spacing w:line="576" w:lineRule="exact"/>
        <w:ind w:firstLine="640" w:firstLineChars="200"/>
        <w:rPr>
          <w:rFonts w:eastAsia="黑体"/>
          <w:kern w:val="2"/>
          <w:sz w:val="32"/>
          <w:szCs w:val="32"/>
        </w:rPr>
      </w:pPr>
      <w:r>
        <w:rPr>
          <w:rFonts w:eastAsia="黑体"/>
          <w:kern w:val="2"/>
          <w:sz w:val="32"/>
          <w:szCs w:val="32"/>
        </w:rPr>
        <w:t>二、操作流程</w:t>
      </w:r>
    </w:p>
    <w:p w14:paraId="65CF68A0">
      <w:pPr>
        <w:widowControl w:val="0"/>
        <w:spacing w:line="576" w:lineRule="exact"/>
        <w:ind w:firstLine="643" w:firstLineChars="200"/>
        <w:rPr>
          <w:rFonts w:eastAsia="仿宋_GB2312"/>
          <w:kern w:val="2"/>
          <w:sz w:val="32"/>
          <w:szCs w:val="32"/>
        </w:rPr>
      </w:pPr>
      <w:r>
        <w:rPr>
          <w:rFonts w:eastAsia="楷体_GB2312"/>
          <w:b/>
          <w:bCs/>
          <w:kern w:val="36"/>
          <w:sz w:val="32"/>
          <w:szCs w:val="32"/>
        </w:rPr>
        <w:t>（一）制发方案。</w:t>
      </w:r>
      <w:r>
        <w:rPr>
          <w:rFonts w:eastAsia="仿宋_GB2312"/>
          <w:kern w:val="2"/>
          <w:sz w:val="32"/>
          <w:szCs w:val="32"/>
        </w:rPr>
        <w:t>省级及以下农业农村部门、财政部门按职责分工和有关规定发布本地区农机购置与应用补贴实施方案、操作程序、补贴额一览表、补贴机具信息表、咨询投诉举报电话等信息。其中，要按年度明确退出补贴</w:t>
      </w:r>
      <w:r>
        <w:rPr>
          <w:rFonts w:eastAsia="仿宋_GB2312"/>
          <w:spacing w:val="11"/>
          <w:kern w:val="2"/>
          <w:sz w:val="32"/>
          <w:szCs w:val="32"/>
        </w:rPr>
        <w:t>范围和实行降低补贴标准机具品目或档次，并留出过渡期。</w:t>
      </w:r>
    </w:p>
    <w:p w14:paraId="7C7249A4">
      <w:pPr>
        <w:widowControl w:val="0"/>
        <w:spacing w:line="576" w:lineRule="exact"/>
        <w:ind w:firstLine="643" w:firstLineChars="200"/>
        <w:rPr>
          <w:rFonts w:eastAsia="仿宋_GB2312"/>
          <w:kern w:val="2"/>
          <w:sz w:val="32"/>
          <w:szCs w:val="32"/>
        </w:rPr>
      </w:pPr>
      <w:r>
        <w:rPr>
          <w:rFonts w:eastAsia="楷体_GB2312"/>
          <w:b/>
          <w:bCs/>
          <w:kern w:val="36"/>
          <w:sz w:val="32"/>
          <w:szCs w:val="32"/>
        </w:rPr>
        <w:t>（二）组织投档。</w:t>
      </w:r>
      <w:r>
        <w:rPr>
          <w:rFonts w:eastAsia="仿宋_GB2312"/>
          <w:kern w:val="2"/>
          <w:sz w:val="32"/>
          <w:szCs w:val="32"/>
        </w:rPr>
        <w:t>农机购置与应用补贴产品投档遵循生产企业自愿参与、自主投档的原则。省农业农村厅按照《农业农村部办公厅关于进一步做好农机购置补贴机具投档与核验等工作的通知》（农办机〔2019〕7号）中《农机购置与应用补贴机具投档工作规范（试行）》等要求，通过农机购置与应用补贴产品机具自主投档平台，常年受理企业投档，分批次组织开展审核，公示通告投档结果，并导入申请办理服务系统。自愿参与我省农机购置与应用补贴的农机生产企业按机具投档要求推送相关资料、信息，并对资料、信息的真实性、完整性、有效性负责。</w:t>
      </w:r>
      <w:r>
        <w:rPr>
          <w:rFonts w:eastAsia="仿宋_GB2312"/>
          <w:kern w:val="36"/>
          <w:sz w:val="32"/>
          <w:szCs w:val="32"/>
        </w:rPr>
        <w:t>对提高补贴额测算比例产品、新推广产品、首次申请列入补贴范围产品、价格明显背离同类同档产品、结构过于简单产品、非常规产品等机具（以下简称“高风险机具”）和成套设备，采取交叉互审等方式严格审核。</w:t>
      </w:r>
      <w:r>
        <w:rPr>
          <w:rFonts w:eastAsia="仿宋_GB2312"/>
          <w:kern w:val="2"/>
          <w:sz w:val="32"/>
          <w:szCs w:val="32"/>
        </w:rPr>
        <w:t>对超范围投送产品、低档高投等造成品目和档次错误的，按照规定严肃查处；对多次或重复发生提供不实投档资料违规行为的农机生产企业，按有关规定从重或加重处理。</w:t>
      </w:r>
    </w:p>
    <w:p w14:paraId="4524A030">
      <w:pPr>
        <w:widowControl w:val="0"/>
        <w:spacing w:line="576" w:lineRule="exact"/>
        <w:ind w:firstLine="643" w:firstLineChars="200"/>
        <w:rPr>
          <w:rFonts w:eastAsia="仿宋_GB2312"/>
          <w:kern w:val="36"/>
          <w:sz w:val="32"/>
          <w:szCs w:val="32"/>
        </w:rPr>
      </w:pPr>
      <w:r>
        <w:rPr>
          <w:rFonts w:eastAsia="楷体_GB2312"/>
          <w:b/>
          <w:bCs/>
          <w:kern w:val="36"/>
          <w:sz w:val="32"/>
          <w:szCs w:val="32"/>
        </w:rPr>
        <w:t>（三）演示评价。</w:t>
      </w:r>
      <w:r>
        <w:rPr>
          <w:rFonts w:eastAsia="仿宋_GB2312"/>
          <w:kern w:val="36"/>
          <w:sz w:val="32"/>
          <w:szCs w:val="32"/>
        </w:rPr>
        <w:t>省农业农村厅组织省农业机械化发展中心对高风险机具开展现场演示评价或验证。现场演示评价或验证发现有问题的，对该产品及时采取封闭措施，并开展调查。调查结束后，根据有关规定进行处理；涉及鉴定（认证）及检验检测工作的，可视情暂停采信相关机构的证书（报告），并将调查情况及时报农业农村部、财政部。</w:t>
      </w:r>
    </w:p>
    <w:p w14:paraId="36ADC3B4">
      <w:pPr>
        <w:widowControl w:val="0"/>
        <w:spacing w:line="576" w:lineRule="exact"/>
        <w:ind w:firstLine="643" w:firstLineChars="200"/>
        <w:rPr>
          <w:rFonts w:eastAsia="仿宋_GB2312"/>
          <w:kern w:val="36"/>
          <w:sz w:val="32"/>
          <w:szCs w:val="32"/>
        </w:rPr>
      </w:pPr>
      <w:r>
        <w:rPr>
          <w:rFonts w:eastAsia="楷体_GB2312"/>
          <w:b/>
          <w:bCs/>
          <w:kern w:val="36"/>
          <w:sz w:val="32"/>
          <w:szCs w:val="32"/>
        </w:rPr>
        <w:t>（四）受理核验。</w:t>
      </w:r>
      <w:r>
        <w:rPr>
          <w:rFonts w:eastAsia="仿宋_GB2312"/>
          <w:kern w:val="36"/>
          <w:sz w:val="32"/>
          <w:szCs w:val="32"/>
        </w:rPr>
        <w:t>农业农村部门在收到购机者完成签字确认的补贴申请后，应及时做出是否受理的决定，对因资料不齐全等原因无法受理的，应注明原因，按原渠道退回申请并告知购机者，做好咨询答疑。办理时限继续按照《辽宁省农业农村厅辽宁省财政厅关于进一步优化农机购置补贴工作流程缩短办理时限有关工作的通知》（辽农机〔2022〕142号）规定执行。</w:t>
      </w:r>
    </w:p>
    <w:p w14:paraId="0AE4C1F4">
      <w:pPr>
        <w:widowControl w:val="0"/>
        <w:spacing w:line="576" w:lineRule="exact"/>
        <w:ind w:firstLine="640" w:firstLineChars="200"/>
        <w:rPr>
          <w:rFonts w:eastAsia="仿宋_GB2312"/>
          <w:kern w:val="36"/>
          <w:sz w:val="32"/>
          <w:szCs w:val="32"/>
        </w:rPr>
      </w:pPr>
      <w:r>
        <w:rPr>
          <w:rFonts w:eastAsia="仿宋_GB2312"/>
          <w:kern w:val="36"/>
          <w:sz w:val="32"/>
          <w:szCs w:val="32"/>
        </w:rPr>
        <w:t>申请办理服务</w:t>
      </w:r>
      <w:r>
        <w:rPr>
          <w:rFonts w:eastAsia="仿宋_GB2312"/>
          <w:kern w:val="2"/>
          <w:sz w:val="32"/>
          <w:szCs w:val="32"/>
        </w:rPr>
        <w:t>系统常年连续开放，推广使用手机APP申请补贴，方便购机者随时在线录入补贴申请，引导购机者在录入信息后，及时向农业农村部门提交补贴申请资料。同一年度内，购机者为农民的，享受补贴资金总额不超过50万元，购机者为</w:t>
      </w:r>
      <w:r>
        <w:rPr>
          <w:rFonts w:hint="eastAsia" w:eastAsia="仿宋_GB2312"/>
          <w:kern w:val="2"/>
          <w:sz w:val="32"/>
          <w:szCs w:val="32"/>
        </w:rPr>
        <w:t>农业</w:t>
      </w:r>
      <w:r>
        <w:rPr>
          <w:rFonts w:eastAsia="仿宋_GB2312"/>
          <w:kern w:val="2"/>
          <w:sz w:val="32"/>
          <w:szCs w:val="32"/>
        </w:rPr>
        <w:t>生产经营组织的享受补贴资金总额不超过200万元。县级补贴资金申请数量达到或超过当年可使用资金额度时，购机者提交的补贴申请为超预算申请，应及时告知购机者超预算申请资金待下一批（或下年度）资金下达后发放。</w:t>
      </w:r>
    </w:p>
    <w:p w14:paraId="27286296">
      <w:pPr>
        <w:widowControl w:val="0"/>
        <w:spacing w:line="576" w:lineRule="exact"/>
        <w:ind w:firstLine="640" w:firstLineChars="200"/>
        <w:rPr>
          <w:rFonts w:eastAsia="仿宋_GB2312"/>
          <w:bCs/>
          <w:kern w:val="2"/>
          <w:sz w:val="32"/>
          <w:szCs w:val="32"/>
        </w:rPr>
      </w:pPr>
      <w:r>
        <w:rPr>
          <w:rFonts w:eastAsia="仿宋_GB2312"/>
          <w:bCs/>
          <w:kern w:val="2"/>
          <w:sz w:val="32"/>
          <w:szCs w:val="32"/>
        </w:rPr>
        <w:t>严禁购机者以外人员通过手机APP办理补贴申请。严禁产销企业代替购机者申办补贴。严禁产销企业、农业生产经营组织及其法人代表自销自购申请补贴。农业生产经营组织不能以组织和法定代表人个人名义同时申请补贴。</w:t>
      </w:r>
      <w:r>
        <w:rPr>
          <w:rFonts w:eastAsia="仿宋_GB2312"/>
          <w:bCs/>
          <w:spacing w:val="11"/>
          <w:kern w:val="2"/>
          <w:sz w:val="32"/>
          <w:szCs w:val="32"/>
        </w:rPr>
        <w:t>各级财政资金农业生产项目购置的农机装备不得申领补贴。</w:t>
      </w:r>
    </w:p>
    <w:p w14:paraId="63985558">
      <w:pPr>
        <w:widowControl w:val="0"/>
        <w:spacing w:line="576" w:lineRule="exact"/>
        <w:ind w:firstLine="640" w:firstLineChars="200"/>
        <w:rPr>
          <w:rFonts w:eastAsia="仿宋_GB2312"/>
          <w:kern w:val="2"/>
          <w:sz w:val="32"/>
          <w:szCs w:val="32"/>
        </w:rPr>
      </w:pPr>
      <w:r>
        <w:rPr>
          <w:rFonts w:eastAsia="仿宋_GB2312"/>
          <w:kern w:val="2"/>
          <w:sz w:val="32"/>
          <w:szCs w:val="32"/>
        </w:rPr>
        <w:t>鼓励基层农业农村部门探索多种核验方式，提高补贴机具核验水平。各地可结合实际，将农机完成作业面积或作业量作为核验的前提条件，并探索打造农机管理干部、农机技术人员、第三方机构、有经验有意愿的农机使用一线“土专家”和农机手参加的核验队伍。对高风险机具，必须逐台核验；对安装类、设施类或安全风险较高的补贴机具，以及当地初次出现的高补贴额机具，在安装完成且生产应用一段时间后进行现场核验和补贴兑付。实行牌证管</w:t>
      </w:r>
      <w:r>
        <w:rPr>
          <w:rFonts w:eastAsia="仿宋_GB2312"/>
          <w:spacing w:val="11"/>
          <w:kern w:val="2"/>
          <w:sz w:val="32"/>
          <w:szCs w:val="32"/>
        </w:rPr>
        <w:t>理的机具，要先行办理牌证照，并凭牌证免于现场实物核验。</w:t>
      </w:r>
    </w:p>
    <w:p w14:paraId="5C0ED829">
      <w:pPr>
        <w:widowControl w:val="0"/>
        <w:spacing w:line="576" w:lineRule="exact"/>
        <w:ind w:firstLine="640" w:firstLineChars="200"/>
        <w:rPr>
          <w:rFonts w:eastAsia="仿宋_GB2312"/>
          <w:kern w:val="2"/>
          <w:sz w:val="32"/>
          <w:szCs w:val="32"/>
        </w:rPr>
      </w:pPr>
      <w:r>
        <w:rPr>
          <w:rFonts w:eastAsia="仿宋_GB2312"/>
          <w:kern w:val="2"/>
          <w:sz w:val="32"/>
          <w:szCs w:val="32"/>
        </w:rPr>
        <w:t>各地要按照《农业农村部办公厅关于进一步做好农机购置补贴机具投档与核验等工作的通知》（农办机〔2019〕7号）中《农机购置补贴机具核验工作要点》（试行）要求，制定本地区机具核验工作流程（要点），明确具体机具核验内容、核验程序及要求、监督管理等。</w:t>
      </w:r>
    </w:p>
    <w:p w14:paraId="2B9DBF1B">
      <w:pPr>
        <w:widowControl w:val="0"/>
        <w:spacing w:line="576" w:lineRule="exact"/>
        <w:ind w:firstLine="643" w:firstLineChars="200"/>
        <w:rPr>
          <w:rFonts w:eastAsia="仿宋_GB2312"/>
          <w:kern w:val="2"/>
          <w:sz w:val="32"/>
          <w:szCs w:val="32"/>
        </w:rPr>
      </w:pPr>
      <w:r>
        <w:rPr>
          <w:rFonts w:eastAsia="楷体_GB2312"/>
          <w:b/>
          <w:bCs/>
          <w:kern w:val="36"/>
          <w:sz w:val="32"/>
          <w:szCs w:val="32"/>
        </w:rPr>
        <w:t>（五）公示信息。</w:t>
      </w:r>
      <w:r>
        <w:rPr>
          <w:rFonts w:eastAsia="仿宋_GB2312"/>
          <w:kern w:val="2"/>
          <w:sz w:val="32"/>
          <w:szCs w:val="32"/>
        </w:rPr>
        <w:t>县级农业农村部门对补贴相关申请资料、机具核验资料、机具核验结果进行形式审核，对符合规定的申请信息，实时在申请办理服务系统、县级农机购置与应用补贴信息公开专栏进行公示；不符合规定的，要向购机者讲明原因，做好政策解释工作。发现涉嫌违规的，要保存好相关证据资料，启动调查程序，同时上报省农业农村厅、省财政厅。鼓励在乡村或农机购置与应用补贴申请点公示栏中同时公开公示信息。</w:t>
      </w:r>
    </w:p>
    <w:p w14:paraId="60EFD0B0">
      <w:pPr>
        <w:widowControl w:val="0"/>
        <w:spacing w:line="576" w:lineRule="exact"/>
        <w:ind w:firstLine="643" w:firstLineChars="200"/>
        <w:rPr>
          <w:rFonts w:eastAsia="仿宋_GB2312"/>
          <w:kern w:val="2"/>
          <w:sz w:val="32"/>
          <w:szCs w:val="32"/>
        </w:rPr>
      </w:pPr>
      <w:r>
        <w:rPr>
          <w:rFonts w:eastAsia="楷体_GB2312"/>
          <w:b/>
          <w:bCs/>
          <w:kern w:val="36"/>
          <w:sz w:val="32"/>
          <w:szCs w:val="32"/>
        </w:rPr>
        <w:t>（六）审核汇总。</w:t>
      </w:r>
      <w:r>
        <w:rPr>
          <w:rFonts w:eastAsia="仿宋_GB2312"/>
          <w:kern w:val="36"/>
          <w:sz w:val="32"/>
          <w:szCs w:val="32"/>
        </w:rPr>
        <w:t>县级及以下农业农村部门通过申请办理服务系统，对购机者录入信息进行审核，符合规定的，要及时通知购机者向县级农业农村部门提交补贴申请资料</w:t>
      </w:r>
      <w:r>
        <w:rPr>
          <w:rFonts w:eastAsia="仿宋_GB2312"/>
          <w:kern w:val="2"/>
          <w:sz w:val="32"/>
          <w:szCs w:val="32"/>
        </w:rPr>
        <w:t>。购机者是个人的，县级及以下农业农村部门应审核购机发票、本人身份证，“一卡通”和开户银行账户信息与提供的复印件信息是否一致，是否齐全、有效；购机者是组织的，应审核购机发票、营业执照、法人代表身份证、银行帐户信息以及开户信息是否与提供复印件是否一致，是否齐全、有效。申请资料的真实性、完整性和有效性由购机者和补贴机具产销企业负责，并承担相关法律责任</w:t>
      </w:r>
      <w:r>
        <w:rPr>
          <w:rFonts w:eastAsia="仿宋_GB2312"/>
          <w:kern w:val="36"/>
          <w:sz w:val="32"/>
          <w:szCs w:val="32"/>
        </w:rPr>
        <w:t>。对因资料不齐全等原因无法受理的，应注明原因，按原渠道退回申请，并告之购机者，做好咨询答疑。</w:t>
      </w:r>
      <w:r>
        <w:rPr>
          <w:rFonts w:eastAsia="仿宋_GB2312"/>
          <w:kern w:val="2"/>
          <w:sz w:val="32"/>
          <w:szCs w:val="32"/>
        </w:rPr>
        <w:t>县级农业农村部门审核汇总乡镇受理审核、机具核验信息材料，将通过审核的申领数据信息材料汇总后提交县级财政部门。</w:t>
      </w:r>
    </w:p>
    <w:p w14:paraId="575E2B3B">
      <w:pPr>
        <w:widowControl w:val="0"/>
        <w:spacing w:line="576" w:lineRule="exact"/>
        <w:ind w:firstLine="643" w:firstLineChars="200"/>
        <w:rPr>
          <w:rFonts w:eastAsia="仿宋_GB2312"/>
          <w:kern w:val="2"/>
          <w:sz w:val="32"/>
          <w:szCs w:val="32"/>
        </w:rPr>
      </w:pPr>
      <w:r>
        <w:rPr>
          <w:rFonts w:eastAsia="楷体_GB2312"/>
          <w:b/>
          <w:bCs/>
          <w:kern w:val="36"/>
          <w:sz w:val="32"/>
          <w:szCs w:val="32"/>
        </w:rPr>
        <w:t>（七）兑付资金。</w:t>
      </w:r>
      <w:r>
        <w:rPr>
          <w:rFonts w:eastAsia="仿宋_GB2312"/>
          <w:kern w:val="36"/>
          <w:sz w:val="32"/>
          <w:szCs w:val="32"/>
        </w:rPr>
        <w:t>县级财政部门对同级农业农村部门提交的资金兑付申请与有关材料进行审核，确认同意兑付补贴资金。</w:t>
      </w:r>
      <w:r>
        <w:rPr>
          <w:rFonts w:eastAsia="仿宋_GB2312"/>
          <w:kern w:val="2"/>
          <w:sz w:val="32"/>
          <w:szCs w:val="32"/>
        </w:rPr>
        <w:t>操作方式按《辽宁省财政厅辽宁省农业农村厅关于农机购置与应用补贴资金实行省集中发放的通知》（辽财农〔2024〕90号）执行。补贴申请原则上当年有效，因当年财政补贴资金可使用额度不足、办理手续时间紧张等原因确实难以完成兑付的，可在下一个年度优先兑付。省农业农村厅会同省财政厅根据农业生产需求，可指定有关品目（或档次）优先录入、优先兑付。因资金使用额度不足或违法违规处理等原因需要延期兑付的，县级财政部门应会同农业农村部门做好政策解读，告知并稳定购机者预期，同时逐级报告资金供需情况。</w:t>
      </w:r>
    </w:p>
    <w:p w14:paraId="6A1C4B94">
      <w:pPr>
        <w:widowControl w:val="0"/>
        <w:spacing w:line="576" w:lineRule="exact"/>
        <w:ind w:firstLine="643" w:firstLineChars="200"/>
        <w:rPr>
          <w:rFonts w:eastAsia="仿宋_GB2312"/>
          <w:kern w:val="2"/>
          <w:sz w:val="32"/>
          <w:szCs w:val="32"/>
        </w:rPr>
      </w:pPr>
      <w:r>
        <w:rPr>
          <w:rFonts w:eastAsia="楷体_GB2312"/>
          <w:b/>
          <w:bCs/>
          <w:kern w:val="2"/>
          <w:sz w:val="32"/>
          <w:szCs w:val="32"/>
        </w:rPr>
        <w:t>（八）抽查调查。</w:t>
      </w:r>
      <w:r>
        <w:rPr>
          <w:rFonts w:eastAsia="仿宋_GB2312"/>
          <w:kern w:val="2"/>
          <w:sz w:val="32"/>
          <w:szCs w:val="32"/>
        </w:rPr>
        <w:t>省、市农业农村和财政部门应委托符合条件的第三方，或由专业农机人员和基层工作人员，对高风险机具和成套设施装备等申请补贴情况进行抽查核验。各市农业农村和财政部门要指导所辖县（市、区）按照每年不少于申领补贴机具总台（套）数的10%比例进行抽查核验。对单一产品购置较为集中、单人多台套、短期内大批量、同一主体连年重复购置、机具适用性和购置数量与购机者生产经营服务所需不相符等补贴申请（简称“异常情况申请”）进行申请冻结，并组织开展调查。涉嫌违规的，按规定处理；涉嫌犯罪的，移交司法机关处理。</w:t>
      </w:r>
    </w:p>
    <w:p w14:paraId="36AD1782">
      <w:pPr>
        <w:widowControl w:val="0"/>
        <w:spacing w:line="576" w:lineRule="exact"/>
        <w:ind w:firstLine="640" w:firstLineChars="200"/>
        <w:rPr>
          <w:rFonts w:eastAsia="仿宋_GB2312"/>
          <w:kern w:val="2"/>
          <w:sz w:val="32"/>
          <w:szCs w:val="32"/>
        </w:rPr>
      </w:pPr>
      <w:r>
        <w:rPr>
          <w:rFonts w:eastAsia="仿宋_GB2312"/>
          <w:kern w:val="2"/>
          <w:sz w:val="32"/>
          <w:szCs w:val="32"/>
        </w:rPr>
        <w:t>农机购置与应用补贴政策全面实行跨年度连续实施，除发生违法违规行为的，不得以任何理由限制购机者提交补贴申请，且补贴机具资质和办理程序等均按购机者提交补贴申请并录入申请办理服务系统时间的相关规定执行，不受政策调整影响，切实稳定购机者补贴申领预期。各地要加强购机者信息保护，配合相</w:t>
      </w:r>
      <w:r>
        <w:rPr>
          <w:rFonts w:eastAsia="仿宋_GB2312"/>
          <w:spacing w:val="6"/>
          <w:kern w:val="2"/>
          <w:sz w:val="32"/>
          <w:szCs w:val="32"/>
        </w:rPr>
        <w:t>关部门严厉打击窃取、倒卖、泄露补贴信息和电信诈骗等不法行为。</w:t>
      </w:r>
    </w:p>
    <w:p w14:paraId="1F88928E">
      <w:pPr>
        <w:widowControl w:val="0"/>
        <w:spacing w:line="576" w:lineRule="exact"/>
        <w:ind w:firstLine="640" w:firstLineChars="200"/>
        <w:rPr>
          <w:rFonts w:eastAsia="黑体"/>
          <w:kern w:val="2"/>
          <w:sz w:val="32"/>
          <w:szCs w:val="32"/>
        </w:rPr>
      </w:pPr>
      <w:r>
        <w:rPr>
          <w:rFonts w:eastAsia="黑体"/>
          <w:kern w:val="2"/>
          <w:sz w:val="32"/>
          <w:szCs w:val="32"/>
        </w:rPr>
        <w:t>三、有关要求</w:t>
      </w:r>
    </w:p>
    <w:p w14:paraId="0E07A0EA">
      <w:pPr>
        <w:widowControl w:val="0"/>
        <w:spacing w:line="576" w:lineRule="exact"/>
        <w:ind w:firstLine="643" w:firstLineChars="200"/>
        <w:rPr>
          <w:rFonts w:eastAsia="仿宋_GB2312"/>
          <w:kern w:val="2"/>
          <w:sz w:val="32"/>
          <w:szCs w:val="32"/>
        </w:rPr>
      </w:pPr>
      <w:r>
        <w:rPr>
          <w:rFonts w:eastAsia="楷体_GB2312"/>
          <w:b/>
          <w:bCs/>
          <w:kern w:val="36"/>
          <w:sz w:val="32"/>
          <w:szCs w:val="32"/>
        </w:rPr>
        <w:t>（一）严格核验机具。</w:t>
      </w:r>
      <w:r>
        <w:rPr>
          <w:rFonts w:eastAsia="仿宋_GB2312"/>
          <w:kern w:val="2"/>
          <w:sz w:val="32"/>
          <w:szCs w:val="32"/>
        </w:rPr>
        <w:t>各地要根据《农业农村部办公厅关于进一步做好农机购置补贴机具投档与核验等工作的通知》（农办机〔2019〕7号）中《农机购置补贴机具核验工作要点》（试行）规定，制定本地区核验规定，严格落实核验内容、流程和时限。未通过机具核验的，不得兑付补贴资金。涉嫌违规的，应组织开展调查，并及时上报省农业农村厅、省财政厅。</w:t>
      </w:r>
    </w:p>
    <w:p w14:paraId="7EEAB590">
      <w:pPr>
        <w:widowControl w:val="0"/>
        <w:spacing w:line="576" w:lineRule="exact"/>
        <w:ind w:firstLine="643" w:firstLineChars="200"/>
        <w:rPr>
          <w:rFonts w:eastAsia="仿宋_GB2312"/>
          <w:kern w:val="2"/>
          <w:sz w:val="32"/>
          <w:szCs w:val="32"/>
        </w:rPr>
      </w:pPr>
      <w:r>
        <w:rPr>
          <w:rFonts w:eastAsia="楷体_GB2312"/>
          <w:b/>
          <w:bCs/>
          <w:kern w:val="36"/>
          <w:sz w:val="32"/>
          <w:szCs w:val="32"/>
        </w:rPr>
        <w:t>（二）建立完整档案。</w:t>
      </w:r>
      <w:r>
        <w:rPr>
          <w:rFonts w:eastAsia="仿宋_GB2312"/>
          <w:kern w:val="36"/>
          <w:sz w:val="32"/>
          <w:szCs w:val="32"/>
        </w:rPr>
        <w:t>县级农业农村部门</w:t>
      </w:r>
      <w:r>
        <w:rPr>
          <w:rFonts w:eastAsia="仿宋_GB2312"/>
          <w:kern w:val="2"/>
          <w:sz w:val="32"/>
          <w:szCs w:val="32"/>
        </w:rPr>
        <w:t>要加强农机购置与应用补贴资料纸质档案和电子档案管理，特别是补贴资金省集中发放完成后，县级农业农村部门要及时汇总收集资料，分类整理归档留存，备用备查，留存期限不少于5年。</w:t>
      </w:r>
    </w:p>
    <w:p w14:paraId="462623C0">
      <w:pPr>
        <w:widowControl w:val="0"/>
        <w:spacing w:line="576" w:lineRule="exact"/>
        <w:ind w:firstLine="643" w:firstLineChars="200"/>
        <w:rPr>
          <w:rFonts w:eastAsia="仿宋_GB2312"/>
          <w:kern w:val="2"/>
          <w:sz w:val="32"/>
          <w:szCs w:val="32"/>
        </w:rPr>
      </w:pPr>
      <w:r>
        <w:rPr>
          <w:rFonts w:eastAsia="楷体_GB2312"/>
          <w:b/>
          <w:bCs/>
          <w:kern w:val="36"/>
          <w:sz w:val="32"/>
          <w:szCs w:val="32"/>
        </w:rPr>
        <w:t>（三）开展绩效考核。</w:t>
      </w:r>
      <w:r>
        <w:rPr>
          <w:rFonts w:eastAsia="仿宋_GB2312"/>
          <w:kern w:val="36"/>
          <w:sz w:val="32"/>
          <w:szCs w:val="32"/>
        </w:rPr>
        <w:t>根</w:t>
      </w:r>
      <w:r>
        <w:rPr>
          <w:rFonts w:eastAsia="仿宋_GB2312"/>
          <w:kern w:val="2"/>
          <w:sz w:val="32"/>
          <w:szCs w:val="32"/>
        </w:rPr>
        <w:t>据农业农村部农机购置与应用补贴政策落实延伸绩效管理规定，实行绩效管理向县（市、区）延伸，科学设置考核指标，考核结果与下一年度补贴资金分配等挂钩。</w:t>
      </w:r>
    </w:p>
    <w:bookmarkEnd w:id="0"/>
    <w:bookmarkEnd w:id="1"/>
    <w:bookmarkEnd w:id="2"/>
    <w:p w14:paraId="57176CFF">
      <w:pPr>
        <w:pStyle w:val="2"/>
      </w:pPr>
    </w:p>
    <w:sectPr>
      <w:footerReference r:id="rId4" w:type="first"/>
      <w:footerReference r:id="rId3" w:type="default"/>
      <w:pgSz w:w="11906" w:h="16838"/>
      <w:pgMar w:top="1440" w:right="1800" w:bottom="1440" w:left="1800" w:header="851" w:footer="992" w:gutter="0"/>
      <w:pgNumType w:chapStyle="1" w:chapSep="emDash"/>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ESI黑体-GB2312">
    <w:altName w:val="Microsoft YaHei UI"/>
    <w:panose1 w:val="00000000000000000000"/>
    <w:charset w:val="86"/>
    <w:family w:val="auto"/>
    <w:pitch w:val="default"/>
    <w:sig w:usb0="00000000" w:usb1="00000000" w:usb2="00000012" w:usb3="00000000" w:csb0="0004000F" w:csb1="00000000"/>
  </w:font>
  <w:font w:name="Microsoft YaHei UI">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3A25F">
    <w:pPr>
      <w:pStyle w:val="19"/>
      <w:snapToGrid w:val="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33AAAD">
                          <w:pPr>
                            <w:pStyle w:val="19"/>
                          </w:pPr>
                          <w:r>
                            <w:fldChar w:fldCharType="begin"/>
                          </w:r>
                          <w:r>
                            <w:instrText xml:space="preserve"> PAGE  \* MERGEFORMAT </w:instrText>
                          </w:r>
                          <w:r>
                            <w:fldChar w:fldCharType="separate"/>
                          </w:r>
                          <w:r>
                            <w:t>28</w:t>
                          </w:r>
                          <w:r>
                            <w:fldChar w:fldCharType="end"/>
                          </w:r>
                        </w:p>
                      </w:txbxContent>
                    </wps:txbx>
                    <wps:bodyPr wrap="none" lIns="0" tIns="0" rIns="0" bIns="0" upright="1">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bD9jCyQEAAJoDAAAOAAAAAAAAAAEAIAAAAB4BAABkcnMvZTJvRG9j&#10;LnhtbFBLBQYAAAAABgAGAFkBAABZBQAAAAA=&#10;">
              <v:fill on="f" focussize="0,0"/>
              <v:stroke on="f"/>
              <v:imagedata o:title=""/>
              <o:lock v:ext="edit" aspectratio="f"/>
              <v:textbox inset="0mm,0mm,0mm,0mm" style="mso-fit-shape-to-text:t;">
                <w:txbxContent>
                  <w:p w14:paraId="0E33AAAD">
                    <w:pPr>
                      <w:pStyle w:val="19"/>
                    </w:pPr>
                    <w:r>
                      <w:fldChar w:fldCharType="begin"/>
                    </w:r>
                    <w:r>
                      <w:instrText xml:space="preserve"> PAGE  \* MERGEFORMAT </w:instrText>
                    </w:r>
                    <w:r>
                      <w:fldChar w:fldCharType="separate"/>
                    </w:r>
                    <w:r>
                      <w:t>28</w:t>
                    </w:r>
                    <w:r>
                      <w:fldChar w:fldCharType="end"/>
                    </w:r>
                  </w:p>
                </w:txbxContent>
              </v:textbox>
            </v:shape>
          </w:pict>
        </mc:Fallback>
      </mc:AlternateContent>
    </w:r>
  </w:p>
  <w:p w14:paraId="296080CB">
    <w:pPr>
      <w:pStyle w:val="19"/>
      <w:snapToGrid w:val="0"/>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D56D1">
    <w:pPr>
      <w:pStyle w:val="1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BCE83B">
                          <w:pPr>
                            <w:pStyle w:val="19"/>
                          </w:pPr>
                          <w:r>
                            <w:fldChar w:fldCharType="begin"/>
                          </w:r>
                          <w:r>
                            <w:instrText xml:space="preserve"> PAGE  \* MERGEFORMAT </w:instrText>
                          </w:r>
                          <w:r>
                            <w:fldChar w:fldCharType="separate"/>
                          </w:r>
                          <w:r>
                            <w:t>25</w:t>
                          </w:r>
                          <w:r>
                            <w:fldChar w:fldCharType="end"/>
                          </w:r>
                        </w:p>
                      </w:txbxContent>
                    </wps:txbx>
                    <wps:bodyPr wrap="none" lIns="0" tIns="0" rIns="0" bIns="0" upright="1">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2wdE8kBAACaAwAADgAAAGRycy9lMm9Eb2MueG1srVPNjtMwEL4j8Q6W&#10;79Rpk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NeUOG5x4Jfv3y4/fl1+fiWr&#10;Ze5PH6DGtIeAiWm48wNuzewHdGbZg4o2f1EQwTh293ztrhwSEfnRerVeVxgSGJsviM8en4cI6a30&#10;lmSjoRHHV7rKT+8hjalzSq7m/L02pozQuL8ciJk9LHMfOWYrDfthErT37Rn19Dj5hjpcdErMO4eN&#10;zUsyG3E29rNxDFEfOqS2LLwg3B4TkijccoURdiqMIyvqpvXKO/HnvWQ9/lLb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zbB0TyQEAAJoDAAAOAAAAAAAAAAEAIAAAAB4BAABkcnMvZTJvRG9j&#10;LnhtbFBLBQYAAAAABgAGAFkBAABZBQAAAAA=&#10;">
              <v:fill on="f" focussize="0,0"/>
              <v:stroke on="f"/>
              <v:imagedata o:title=""/>
              <o:lock v:ext="edit" aspectratio="f"/>
              <v:textbox inset="0mm,0mm,0mm,0mm" style="mso-fit-shape-to-text:t;">
                <w:txbxContent>
                  <w:p w14:paraId="72BCE83B">
                    <w:pPr>
                      <w:pStyle w:val="19"/>
                    </w:pPr>
                    <w:r>
                      <w:fldChar w:fldCharType="begin"/>
                    </w:r>
                    <w:r>
                      <w:instrText xml:space="preserve"> PAGE  \* MERGEFORMAT </w:instrText>
                    </w:r>
                    <w:r>
                      <w:fldChar w:fldCharType="separate"/>
                    </w:r>
                    <w:r>
                      <w:t>25</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balanceSingleByteDoubleByteWidth/>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F76"/>
    <w:rsid w:val="0007220F"/>
    <w:rsid w:val="00080788"/>
    <w:rsid w:val="00107E18"/>
    <w:rsid w:val="0011788A"/>
    <w:rsid w:val="00126679"/>
    <w:rsid w:val="001B7B05"/>
    <w:rsid w:val="00210B84"/>
    <w:rsid w:val="00250F87"/>
    <w:rsid w:val="00257B9B"/>
    <w:rsid w:val="0029504C"/>
    <w:rsid w:val="002B5069"/>
    <w:rsid w:val="00314EE4"/>
    <w:rsid w:val="003200D1"/>
    <w:rsid w:val="00351C1F"/>
    <w:rsid w:val="00357567"/>
    <w:rsid w:val="00361082"/>
    <w:rsid w:val="003B3166"/>
    <w:rsid w:val="003E75BB"/>
    <w:rsid w:val="00493777"/>
    <w:rsid w:val="00511504"/>
    <w:rsid w:val="005573B2"/>
    <w:rsid w:val="005C75CF"/>
    <w:rsid w:val="005E5D8D"/>
    <w:rsid w:val="006172CB"/>
    <w:rsid w:val="00712D7F"/>
    <w:rsid w:val="00731439"/>
    <w:rsid w:val="007A743F"/>
    <w:rsid w:val="007C60B8"/>
    <w:rsid w:val="00817986"/>
    <w:rsid w:val="00854105"/>
    <w:rsid w:val="00860FA0"/>
    <w:rsid w:val="00873066"/>
    <w:rsid w:val="009123C2"/>
    <w:rsid w:val="009464CF"/>
    <w:rsid w:val="009D41AF"/>
    <w:rsid w:val="00A2457C"/>
    <w:rsid w:val="00A65933"/>
    <w:rsid w:val="00A9565B"/>
    <w:rsid w:val="00AB1CDB"/>
    <w:rsid w:val="00AC3896"/>
    <w:rsid w:val="00B125D6"/>
    <w:rsid w:val="00B20042"/>
    <w:rsid w:val="00B2244E"/>
    <w:rsid w:val="00B33801"/>
    <w:rsid w:val="00B50BF1"/>
    <w:rsid w:val="00B672FE"/>
    <w:rsid w:val="00BC4A55"/>
    <w:rsid w:val="00C03888"/>
    <w:rsid w:val="00C15B61"/>
    <w:rsid w:val="00C2576F"/>
    <w:rsid w:val="00C7644B"/>
    <w:rsid w:val="00C94D1A"/>
    <w:rsid w:val="00CA3507"/>
    <w:rsid w:val="00CB5044"/>
    <w:rsid w:val="00CD2DE9"/>
    <w:rsid w:val="00D11FD7"/>
    <w:rsid w:val="00D4631F"/>
    <w:rsid w:val="00D543B9"/>
    <w:rsid w:val="00DD34EC"/>
    <w:rsid w:val="00DD382E"/>
    <w:rsid w:val="00DF77E6"/>
    <w:rsid w:val="00E05630"/>
    <w:rsid w:val="00E062D3"/>
    <w:rsid w:val="00EB5537"/>
    <w:rsid w:val="00F02590"/>
    <w:rsid w:val="00F24632"/>
    <w:rsid w:val="00F636F1"/>
    <w:rsid w:val="00F730F1"/>
    <w:rsid w:val="00F871A2"/>
    <w:rsid w:val="00F8775D"/>
    <w:rsid w:val="00F9690C"/>
    <w:rsid w:val="00FC1F76"/>
    <w:rsid w:val="00FC2553"/>
    <w:rsid w:val="00FC2CA0"/>
    <w:rsid w:val="00FF4187"/>
    <w:rsid w:val="0558253C"/>
    <w:rsid w:val="056A31F0"/>
    <w:rsid w:val="08974190"/>
    <w:rsid w:val="0C8B1C8C"/>
    <w:rsid w:val="11F46462"/>
    <w:rsid w:val="13CB5AC7"/>
    <w:rsid w:val="20DA1045"/>
    <w:rsid w:val="22C35239"/>
    <w:rsid w:val="23AB52E9"/>
    <w:rsid w:val="2E214FDD"/>
    <w:rsid w:val="3A3E431B"/>
    <w:rsid w:val="3DE8576C"/>
    <w:rsid w:val="426E35A2"/>
    <w:rsid w:val="447F61B5"/>
    <w:rsid w:val="60E905AB"/>
    <w:rsid w:val="626D1949"/>
    <w:rsid w:val="6AAA0D2E"/>
    <w:rsid w:val="6AB71BBA"/>
    <w:rsid w:val="6CA064F3"/>
    <w:rsid w:val="78950F8D"/>
    <w:rsid w:val="7A0458E4"/>
  </w:rsids>
  <m:mathPr>
    <m:mathFont m:val="Cambria Math"/>
    <m:brkBin m:val="before"/>
    <m:brkBinSub m:val="--"/>
    <m:smallFrac m:val="1"/>
    <m:dispDef/>
    <m:lMargin m:val="1440"/>
    <m:rMargin m:val="144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7" w:semiHidden="0" w:name="heading 1"/>
    <w:lsdException w:qFormat="1" w:unhideWhenUsed="0" w:uiPriority="8" w:semiHidden="0" w:name="heading 2"/>
    <w:lsdException w:qFormat="1" w:unhideWhenUsed="0" w:uiPriority="9" w:semiHidden="0" w:name="heading 3"/>
    <w:lsdException w:qFormat="1" w:unhideWhenUsed="0" w:uiPriority="10" w:semiHidden="0" w:name="heading 4"/>
    <w:lsdException w:qFormat="1" w:unhideWhenUsed="0" w:uiPriority="11" w:semiHidden="0" w:name="heading 5"/>
    <w:lsdException w:qFormat="1" w:unhideWhenUsed="0" w:uiPriority="12" w:semiHidden="0" w:name="heading 6"/>
    <w:lsdException w:qFormat="1" w:unhideWhenUsed="0" w:uiPriority="13" w:semiHidden="0" w:name="heading 7"/>
    <w:lsdException w:qFormat="1" w:unhideWhenUsed="0" w:uiPriority="14" w:semiHidden="0" w:name="heading 8"/>
    <w:lsdException w:qFormat="1" w:unhideWhenUsed="0" w:uiPriority="15"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28" w:semiHidden="0" w:name="toc 1"/>
    <w:lsdException w:qFormat="1" w:uiPriority="29" w:semiHidden="0" w:name="toc 2"/>
    <w:lsdException w:qFormat="1" w:uiPriority="30" w:semiHidden="0" w:name="toc 3"/>
    <w:lsdException w:qFormat="1" w:uiPriority="31" w:semiHidden="0" w:name="toc 4"/>
    <w:lsdException w:qFormat="1" w:uiPriority="32" w:semiHidden="0" w:name="toc 5"/>
    <w:lsdException w:qFormat="1" w:uiPriority="33" w:semiHidden="0" w:name="toc 6"/>
    <w:lsdException w:qFormat="1" w:uiPriority="34" w:semiHidden="0" w:name="toc 7"/>
    <w:lsdException w:qFormat="1" w:uiPriority="35" w:semiHidden="0" w:name="toc 8"/>
    <w:lsdException w:qFormat="1" w:uiPriority="36" w:semiHidden="0"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6"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6" w:semiHidden="0" w:name="Subtitle"/>
    <w:lsdException w:uiPriority="99" w:name="Salutation"/>
    <w:lsdException w:qFormat="1" w:uiPriority="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name="Hyperlink"/>
    <w:lsdException w:uiPriority="99" w:name="FollowedHyperlink"/>
    <w:lsdException w:qFormat="1" w:unhideWhenUsed="0" w:uiPriority="20" w:semiHidden="0" w:name="Strong"/>
    <w:lsdException w:qFormat="1" w:unhideWhenUsed="0" w:uiPriority="18" w:semiHidden="0" w:name="Emphasis"/>
    <w:lsdException w:uiPriority="99" w:name="Document Map"/>
    <w:lsdException w:uiPriority="99"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5"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6" w:semiHidden="0" w:name="List Paragraph"/>
    <w:lsdException w:qFormat="1" w:unhideWhenUsed="0" w:uiPriority="21" w:semiHidden="0" w:name="Quote"/>
    <w:lsdException w:qFormat="1" w:unhideWhenUsed="0" w:uiPriority="22"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jc w:val="both"/>
    </w:pPr>
    <w:rPr>
      <w:rFonts w:ascii="Times New Roman" w:hAnsi="Times New Roman" w:eastAsia="宋体" w:cs="Times New Roman"/>
      <w:sz w:val="21"/>
      <w:szCs w:val="21"/>
      <w:lang w:val="en-US" w:eastAsia="zh-CN" w:bidi="ar-SA"/>
    </w:rPr>
  </w:style>
  <w:style w:type="paragraph" w:styleId="3">
    <w:name w:val="heading 1"/>
    <w:basedOn w:val="1"/>
    <w:next w:val="1"/>
    <w:qFormat/>
    <w:uiPriority w:val="7"/>
    <w:pPr>
      <w:outlineLvl w:val="0"/>
    </w:pPr>
    <w:rPr>
      <w:sz w:val="28"/>
      <w:szCs w:val="28"/>
    </w:rPr>
  </w:style>
  <w:style w:type="paragraph" w:styleId="4">
    <w:name w:val="heading 2"/>
    <w:next w:val="1"/>
    <w:qFormat/>
    <w:uiPriority w:val="8"/>
    <w:pPr>
      <w:jc w:val="both"/>
      <w:outlineLvl w:val="1"/>
    </w:pPr>
    <w:rPr>
      <w:rFonts w:ascii="Times New Roman" w:hAnsi="Times New Roman" w:eastAsia="宋体" w:cs="Times New Roman"/>
      <w:sz w:val="21"/>
      <w:szCs w:val="21"/>
      <w:lang w:val="en-US" w:eastAsia="zh-CN" w:bidi="ar-SA"/>
    </w:rPr>
  </w:style>
  <w:style w:type="paragraph" w:styleId="5">
    <w:name w:val="heading 3"/>
    <w:next w:val="1"/>
    <w:qFormat/>
    <w:uiPriority w:val="9"/>
    <w:pPr>
      <w:ind w:left="1000" w:hanging="400"/>
      <w:jc w:val="both"/>
      <w:outlineLvl w:val="2"/>
    </w:pPr>
    <w:rPr>
      <w:rFonts w:ascii="Times New Roman" w:hAnsi="Times New Roman" w:eastAsia="宋体" w:cs="Times New Roman"/>
      <w:sz w:val="21"/>
      <w:szCs w:val="21"/>
      <w:lang w:val="en-US" w:eastAsia="zh-CN" w:bidi="ar-SA"/>
    </w:rPr>
  </w:style>
  <w:style w:type="paragraph" w:styleId="6">
    <w:name w:val="heading 4"/>
    <w:next w:val="1"/>
    <w:qFormat/>
    <w:uiPriority w:val="10"/>
    <w:pPr>
      <w:ind w:left="1200" w:hanging="400"/>
      <w:jc w:val="both"/>
      <w:outlineLvl w:val="3"/>
    </w:pPr>
    <w:rPr>
      <w:rFonts w:ascii="Times New Roman" w:hAnsi="Times New Roman" w:eastAsia="宋体" w:cs="Times New Roman"/>
      <w:b/>
      <w:sz w:val="21"/>
      <w:szCs w:val="21"/>
      <w:lang w:val="en-US" w:eastAsia="zh-CN" w:bidi="ar-SA"/>
    </w:rPr>
  </w:style>
  <w:style w:type="paragraph" w:styleId="7">
    <w:name w:val="heading 5"/>
    <w:next w:val="1"/>
    <w:qFormat/>
    <w:uiPriority w:val="11"/>
    <w:pPr>
      <w:ind w:left="1400" w:hanging="400"/>
      <w:jc w:val="both"/>
      <w:outlineLvl w:val="4"/>
    </w:pPr>
    <w:rPr>
      <w:rFonts w:ascii="Times New Roman" w:hAnsi="Times New Roman" w:eastAsia="宋体" w:cs="Times New Roman"/>
      <w:sz w:val="21"/>
      <w:szCs w:val="21"/>
      <w:lang w:val="en-US" w:eastAsia="zh-CN" w:bidi="ar-SA"/>
    </w:rPr>
  </w:style>
  <w:style w:type="paragraph" w:styleId="8">
    <w:name w:val="heading 6"/>
    <w:next w:val="1"/>
    <w:qFormat/>
    <w:uiPriority w:val="12"/>
    <w:pPr>
      <w:ind w:left="1600" w:hanging="400"/>
      <w:jc w:val="both"/>
      <w:outlineLvl w:val="5"/>
    </w:pPr>
    <w:rPr>
      <w:rFonts w:ascii="Times New Roman" w:hAnsi="Times New Roman" w:eastAsia="宋体" w:cs="Times New Roman"/>
      <w:b/>
      <w:sz w:val="21"/>
      <w:szCs w:val="21"/>
      <w:lang w:val="en-US" w:eastAsia="zh-CN" w:bidi="ar-SA"/>
    </w:rPr>
  </w:style>
  <w:style w:type="paragraph" w:styleId="9">
    <w:name w:val="heading 7"/>
    <w:next w:val="1"/>
    <w:qFormat/>
    <w:uiPriority w:val="13"/>
    <w:pPr>
      <w:ind w:left="1800" w:hanging="400"/>
      <w:jc w:val="both"/>
      <w:outlineLvl w:val="6"/>
    </w:pPr>
    <w:rPr>
      <w:rFonts w:ascii="Times New Roman" w:hAnsi="Times New Roman" w:eastAsia="宋体" w:cs="Times New Roman"/>
      <w:sz w:val="21"/>
      <w:szCs w:val="21"/>
      <w:lang w:val="en-US" w:eastAsia="zh-CN" w:bidi="ar-SA"/>
    </w:rPr>
  </w:style>
  <w:style w:type="paragraph" w:styleId="10">
    <w:name w:val="heading 8"/>
    <w:next w:val="1"/>
    <w:qFormat/>
    <w:uiPriority w:val="14"/>
    <w:pPr>
      <w:ind w:left="2000" w:hanging="400"/>
      <w:jc w:val="both"/>
      <w:outlineLvl w:val="7"/>
    </w:pPr>
    <w:rPr>
      <w:rFonts w:ascii="Times New Roman" w:hAnsi="Times New Roman" w:eastAsia="宋体" w:cs="Times New Roman"/>
      <w:sz w:val="21"/>
      <w:szCs w:val="21"/>
      <w:lang w:val="en-US" w:eastAsia="zh-CN" w:bidi="ar-SA"/>
    </w:rPr>
  </w:style>
  <w:style w:type="paragraph" w:styleId="11">
    <w:name w:val="heading 9"/>
    <w:next w:val="1"/>
    <w:qFormat/>
    <w:uiPriority w:val="15"/>
    <w:pPr>
      <w:ind w:left="2200" w:hanging="400"/>
      <w:jc w:val="both"/>
      <w:outlineLvl w:val="8"/>
    </w:pPr>
    <w:rPr>
      <w:rFonts w:ascii="Times New Roman" w:hAnsi="Times New Roman" w:eastAsia="宋体" w:cs="Times New Roman"/>
      <w:sz w:val="21"/>
      <w:szCs w:val="21"/>
      <w:lang w:val="en-US" w:eastAsia="zh-CN" w:bidi="ar-SA"/>
    </w:rPr>
  </w:style>
  <w:style w:type="character" w:default="1" w:styleId="30">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12">
    <w:name w:val="toc 7"/>
    <w:next w:val="1"/>
    <w:unhideWhenUsed/>
    <w:qFormat/>
    <w:uiPriority w:val="34"/>
    <w:pPr>
      <w:ind w:left="2550"/>
      <w:jc w:val="both"/>
    </w:pPr>
    <w:rPr>
      <w:rFonts w:ascii="Times New Roman" w:hAnsi="Times New Roman" w:eastAsia="宋体" w:cs="Times New Roman"/>
      <w:sz w:val="21"/>
      <w:szCs w:val="21"/>
      <w:lang w:val="en-US" w:eastAsia="zh-CN" w:bidi="ar-SA"/>
    </w:rPr>
  </w:style>
  <w:style w:type="paragraph" w:styleId="13">
    <w:name w:val="table of authorities"/>
    <w:basedOn w:val="1"/>
    <w:next w:val="1"/>
    <w:qFormat/>
    <w:uiPriority w:val="0"/>
    <w:pPr>
      <w:widowControl w:val="0"/>
      <w:ind w:left="420" w:leftChars="200"/>
    </w:pPr>
    <w:rPr>
      <w:kern w:val="2"/>
      <w:szCs w:val="24"/>
    </w:rPr>
  </w:style>
  <w:style w:type="paragraph" w:styleId="14">
    <w:name w:val="toc 5"/>
    <w:next w:val="1"/>
    <w:unhideWhenUsed/>
    <w:qFormat/>
    <w:uiPriority w:val="32"/>
    <w:pPr>
      <w:ind w:left="1700"/>
      <w:jc w:val="both"/>
    </w:pPr>
    <w:rPr>
      <w:rFonts w:ascii="Times New Roman" w:hAnsi="Times New Roman" w:eastAsia="宋体" w:cs="Times New Roman"/>
      <w:sz w:val="21"/>
      <w:szCs w:val="21"/>
      <w:lang w:val="en-US" w:eastAsia="zh-CN" w:bidi="ar-SA"/>
    </w:rPr>
  </w:style>
  <w:style w:type="paragraph" w:styleId="15">
    <w:name w:val="toc 3"/>
    <w:next w:val="1"/>
    <w:unhideWhenUsed/>
    <w:qFormat/>
    <w:uiPriority w:val="30"/>
    <w:pPr>
      <w:ind w:left="850"/>
      <w:jc w:val="both"/>
    </w:pPr>
    <w:rPr>
      <w:rFonts w:ascii="Times New Roman" w:hAnsi="Times New Roman" w:eastAsia="宋体" w:cs="Times New Roman"/>
      <w:sz w:val="21"/>
      <w:szCs w:val="21"/>
      <w:lang w:val="en-US" w:eastAsia="zh-CN" w:bidi="ar-SA"/>
    </w:rPr>
  </w:style>
  <w:style w:type="paragraph" w:styleId="16">
    <w:name w:val="toc 8"/>
    <w:next w:val="1"/>
    <w:unhideWhenUsed/>
    <w:qFormat/>
    <w:uiPriority w:val="35"/>
    <w:pPr>
      <w:ind w:left="2975"/>
      <w:jc w:val="both"/>
    </w:pPr>
    <w:rPr>
      <w:rFonts w:ascii="Times New Roman" w:hAnsi="Times New Roman" w:eastAsia="宋体" w:cs="Times New Roman"/>
      <w:sz w:val="21"/>
      <w:szCs w:val="21"/>
      <w:lang w:val="en-US" w:eastAsia="zh-CN" w:bidi="ar-SA"/>
    </w:rPr>
  </w:style>
  <w:style w:type="paragraph" w:styleId="17">
    <w:name w:val="Date"/>
    <w:basedOn w:val="1"/>
    <w:next w:val="1"/>
    <w:link w:val="45"/>
    <w:semiHidden/>
    <w:unhideWhenUsed/>
    <w:qFormat/>
    <w:uiPriority w:val="0"/>
    <w:pPr>
      <w:ind w:left="100"/>
    </w:pPr>
  </w:style>
  <w:style w:type="paragraph" w:styleId="18">
    <w:name w:val="Balloon Text"/>
    <w:basedOn w:val="1"/>
    <w:link w:val="48"/>
    <w:semiHidden/>
    <w:unhideWhenUsed/>
    <w:uiPriority w:val="99"/>
    <w:rPr>
      <w:sz w:val="18"/>
      <w:szCs w:val="18"/>
    </w:rPr>
  </w:style>
  <w:style w:type="paragraph" w:styleId="19">
    <w:name w:val="footer"/>
    <w:basedOn w:val="1"/>
    <w:link w:val="47"/>
    <w:unhideWhenUsed/>
    <w:qFormat/>
    <w:uiPriority w:val="0"/>
    <w:pPr>
      <w:tabs>
        <w:tab w:val="center" w:pos="4153"/>
        <w:tab w:val="right" w:pos="8306"/>
      </w:tabs>
    </w:pPr>
    <w:rPr>
      <w:sz w:val="18"/>
      <w:szCs w:val="18"/>
    </w:rPr>
  </w:style>
  <w:style w:type="paragraph" w:styleId="20">
    <w:name w:val="header"/>
    <w:basedOn w:val="1"/>
    <w:link w:val="46"/>
    <w:unhideWhenUsed/>
    <w:qFormat/>
    <w:uiPriority w:val="0"/>
    <w:pPr>
      <w:tabs>
        <w:tab w:val="center" w:pos="4153"/>
        <w:tab w:val="right" w:pos="8306"/>
      </w:tabs>
      <w:jc w:val="center"/>
    </w:pPr>
    <w:rPr>
      <w:sz w:val="18"/>
      <w:szCs w:val="18"/>
    </w:rPr>
  </w:style>
  <w:style w:type="paragraph" w:styleId="21">
    <w:name w:val="toc 1"/>
    <w:next w:val="1"/>
    <w:unhideWhenUsed/>
    <w:qFormat/>
    <w:uiPriority w:val="28"/>
    <w:pPr>
      <w:jc w:val="both"/>
    </w:pPr>
    <w:rPr>
      <w:rFonts w:ascii="Times New Roman" w:hAnsi="Times New Roman" w:eastAsia="宋体" w:cs="Times New Roman"/>
      <w:sz w:val="21"/>
      <w:szCs w:val="21"/>
      <w:lang w:val="en-US" w:eastAsia="zh-CN" w:bidi="ar-SA"/>
    </w:rPr>
  </w:style>
  <w:style w:type="paragraph" w:styleId="22">
    <w:name w:val="toc 4"/>
    <w:next w:val="1"/>
    <w:unhideWhenUsed/>
    <w:qFormat/>
    <w:uiPriority w:val="31"/>
    <w:pPr>
      <w:ind w:left="1275"/>
      <w:jc w:val="both"/>
    </w:pPr>
    <w:rPr>
      <w:rFonts w:ascii="Times New Roman" w:hAnsi="Times New Roman" w:eastAsia="宋体" w:cs="Times New Roman"/>
      <w:sz w:val="21"/>
      <w:szCs w:val="21"/>
      <w:lang w:val="en-US" w:eastAsia="zh-CN" w:bidi="ar-SA"/>
    </w:rPr>
  </w:style>
  <w:style w:type="paragraph" w:styleId="23">
    <w:name w:val="Subtitle"/>
    <w:qFormat/>
    <w:uiPriority w:val="16"/>
    <w:pPr>
      <w:jc w:val="center"/>
    </w:pPr>
    <w:rPr>
      <w:rFonts w:ascii="Times New Roman" w:hAnsi="Times New Roman" w:eastAsia="宋体" w:cs="Times New Roman"/>
      <w:sz w:val="24"/>
      <w:szCs w:val="24"/>
      <w:lang w:val="en-US" w:eastAsia="zh-CN" w:bidi="ar-SA"/>
    </w:rPr>
  </w:style>
  <w:style w:type="paragraph" w:styleId="24">
    <w:name w:val="toc 6"/>
    <w:next w:val="1"/>
    <w:unhideWhenUsed/>
    <w:qFormat/>
    <w:uiPriority w:val="33"/>
    <w:pPr>
      <w:ind w:left="2125"/>
      <w:jc w:val="both"/>
    </w:pPr>
    <w:rPr>
      <w:rFonts w:ascii="Times New Roman" w:hAnsi="Times New Roman" w:eastAsia="宋体" w:cs="Times New Roman"/>
      <w:sz w:val="21"/>
      <w:szCs w:val="21"/>
      <w:lang w:val="en-US" w:eastAsia="zh-CN" w:bidi="ar-SA"/>
    </w:rPr>
  </w:style>
  <w:style w:type="paragraph" w:styleId="25">
    <w:name w:val="toc 2"/>
    <w:next w:val="1"/>
    <w:unhideWhenUsed/>
    <w:qFormat/>
    <w:uiPriority w:val="29"/>
    <w:pPr>
      <w:ind w:left="425"/>
      <w:jc w:val="both"/>
    </w:pPr>
    <w:rPr>
      <w:rFonts w:ascii="Times New Roman" w:hAnsi="Times New Roman" w:eastAsia="宋体" w:cs="Times New Roman"/>
      <w:sz w:val="21"/>
      <w:szCs w:val="21"/>
      <w:lang w:val="en-US" w:eastAsia="zh-CN" w:bidi="ar-SA"/>
    </w:rPr>
  </w:style>
  <w:style w:type="paragraph" w:styleId="26">
    <w:name w:val="toc 9"/>
    <w:next w:val="1"/>
    <w:unhideWhenUsed/>
    <w:qFormat/>
    <w:uiPriority w:val="36"/>
    <w:pPr>
      <w:ind w:left="3400"/>
      <w:jc w:val="both"/>
    </w:pPr>
    <w:rPr>
      <w:rFonts w:ascii="Times New Roman" w:hAnsi="Times New Roman" w:eastAsia="宋体" w:cs="Times New Roman"/>
      <w:sz w:val="21"/>
      <w:szCs w:val="21"/>
      <w:lang w:val="en-US" w:eastAsia="zh-CN" w:bidi="ar-SA"/>
    </w:rPr>
  </w:style>
  <w:style w:type="paragraph" w:styleId="27">
    <w:name w:val="Normal (Web)"/>
    <w:basedOn w:val="1"/>
    <w:semiHidden/>
    <w:unhideWhenUsed/>
    <w:qFormat/>
    <w:uiPriority w:val="0"/>
    <w:rPr>
      <w:rFonts w:ascii="宋体" w:hAnsi="宋体"/>
      <w:sz w:val="24"/>
      <w:szCs w:val="24"/>
    </w:rPr>
  </w:style>
  <w:style w:type="paragraph" w:styleId="28">
    <w:name w:val="Title"/>
    <w:qFormat/>
    <w:uiPriority w:val="6"/>
    <w:pPr>
      <w:jc w:val="center"/>
    </w:pPr>
    <w:rPr>
      <w:rFonts w:ascii="Times New Roman" w:hAnsi="Times New Roman" w:eastAsia="宋体" w:cs="Times New Roman"/>
      <w:b/>
      <w:sz w:val="32"/>
      <w:szCs w:val="32"/>
      <w:lang w:val="en-US" w:eastAsia="zh-CN" w:bidi="ar-SA"/>
    </w:rPr>
  </w:style>
  <w:style w:type="character" w:styleId="31">
    <w:name w:val="Strong"/>
    <w:qFormat/>
    <w:uiPriority w:val="20"/>
    <w:rPr>
      <w:b/>
      <w:w w:val="100"/>
      <w:sz w:val="21"/>
      <w:szCs w:val="21"/>
      <w:shd w:val="clear" w:color="auto" w:fill="auto"/>
    </w:rPr>
  </w:style>
  <w:style w:type="character" w:styleId="32">
    <w:name w:val="Emphasis"/>
    <w:qFormat/>
    <w:uiPriority w:val="18"/>
    <w:rPr>
      <w:i/>
      <w:w w:val="100"/>
      <w:sz w:val="21"/>
      <w:szCs w:val="21"/>
      <w:shd w:val="clear" w:color="auto" w:fill="auto"/>
    </w:rPr>
  </w:style>
  <w:style w:type="character" w:styleId="33">
    <w:name w:val="Hyperlink"/>
    <w:basedOn w:val="30"/>
    <w:semiHidden/>
    <w:unhideWhenUsed/>
    <w:qFormat/>
    <w:uiPriority w:val="0"/>
    <w:rPr>
      <w:color w:val="0000FF"/>
      <w:w w:val="100"/>
      <w:sz w:val="20"/>
      <w:szCs w:val="20"/>
      <w:u w:val="single"/>
      <w:shd w:val="clear" w:color="auto" w:fill="auto"/>
    </w:rPr>
  </w:style>
  <w:style w:type="paragraph" w:styleId="34">
    <w:name w:val="No Spacing"/>
    <w:qFormat/>
    <w:uiPriority w:val="5"/>
    <w:pPr>
      <w:jc w:val="both"/>
    </w:pPr>
    <w:rPr>
      <w:rFonts w:ascii="Times New Roman" w:hAnsi="Times New Roman" w:eastAsia="宋体" w:cs="Times New Roman"/>
      <w:sz w:val="21"/>
      <w:szCs w:val="21"/>
      <w:lang w:val="en-US" w:eastAsia="zh-CN" w:bidi="ar-SA"/>
    </w:rPr>
  </w:style>
  <w:style w:type="character" w:customStyle="1" w:styleId="35">
    <w:name w:val="不明显强调1"/>
    <w:qFormat/>
    <w:uiPriority w:val="17"/>
    <w:rPr>
      <w:i/>
      <w:color w:val="404040"/>
      <w:w w:val="100"/>
      <w:sz w:val="21"/>
      <w:szCs w:val="21"/>
      <w:shd w:val="clear" w:color="auto" w:fill="auto"/>
    </w:rPr>
  </w:style>
  <w:style w:type="character" w:customStyle="1" w:styleId="36">
    <w:name w:val="明显强调1"/>
    <w:qFormat/>
    <w:uiPriority w:val="19"/>
    <w:rPr>
      <w:i/>
      <w:color w:val="5B9BD5"/>
      <w:w w:val="100"/>
      <w:sz w:val="21"/>
      <w:szCs w:val="21"/>
      <w:shd w:val="clear" w:color="auto" w:fill="auto"/>
    </w:rPr>
  </w:style>
  <w:style w:type="paragraph" w:styleId="37">
    <w:name w:val="Quote"/>
    <w:qFormat/>
    <w:uiPriority w:val="21"/>
    <w:pPr>
      <w:ind w:left="864" w:right="864"/>
      <w:jc w:val="center"/>
    </w:pPr>
    <w:rPr>
      <w:rFonts w:ascii="Times New Roman" w:hAnsi="Times New Roman" w:eastAsia="宋体" w:cs="Times New Roman"/>
      <w:i/>
      <w:color w:val="404040"/>
      <w:sz w:val="21"/>
      <w:szCs w:val="21"/>
      <w:lang w:val="en-US" w:eastAsia="zh-CN" w:bidi="ar-SA"/>
    </w:rPr>
  </w:style>
  <w:style w:type="paragraph" w:styleId="38">
    <w:name w:val="Intense Quote"/>
    <w:qFormat/>
    <w:uiPriority w:val="22"/>
    <w:pPr>
      <w:ind w:left="950" w:right="950"/>
      <w:jc w:val="center"/>
    </w:pPr>
    <w:rPr>
      <w:rFonts w:ascii="Times New Roman" w:hAnsi="Times New Roman" w:eastAsia="宋体" w:cs="Times New Roman"/>
      <w:i/>
      <w:color w:val="5B9BD5"/>
      <w:sz w:val="21"/>
      <w:szCs w:val="21"/>
      <w:lang w:val="en-US" w:eastAsia="zh-CN" w:bidi="ar-SA"/>
    </w:rPr>
  </w:style>
  <w:style w:type="character" w:customStyle="1" w:styleId="39">
    <w:name w:val="不明显参考1"/>
    <w:qFormat/>
    <w:uiPriority w:val="23"/>
    <w:rPr>
      <w:smallCaps/>
      <w:color w:val="5A5A5A"/>
      <w:w w:val="100"/>
      <w:sz w:val="21"/>
      <w:szCs w:val="21"/>
      <w:shd w:val="clear" w:color="auto" w:fill="auto"/>
    </w:rPr>
  </w:style>
  <w:style w:type="character" w:customStyle="1" w:styleId="40">
    <w:name w:val="明显参考1"/>
    <w:qFormat/>
    <w:uiPriority w:val="24"/>
    <w:rPr>
      <w:b/>
      <w:smallCaps/>
      <w:color w:val="5B9BD5"/>
      <w:w w:val="100"/>
      <w:sz w:val="21"/>
      <w:szCs w:val="21"/>
      <w:shd w:val="clear" w:color="auto" w:fill="auto"/>
    </w:rPr>
  </w:style>
  <w:style w:type="character" w:customStyle="1" w:styleId="41">
    <w:name w:val="书籍标题1"/>
    <w:qFormat/>
    <w:uiPriority w:val="25"/>
    <w:rPr>
      <w:b/>
      <w:i/>
      <w:w w:val="100"/>
      <w:sz w:val="21"/>
      <w:szCs w:val="21"/>
      <w:shd w:val="clear" w:color="auto" w:fill="auto"/>
    </w:rPr>
  </w:style>
  <w:style w:type="paragraph" w:styleId="42">
    <w:name w:val="List Paragraph"/>
    <w:qFormat/>
    <w:uiPriority w:val="26"/>
    <w:pPr>
      <w:ind w:left="850"/>
      <w:jc w:val="both"/>
    </w:pPr>
    <w:rPr>
      <w:rFonts w:ascii="Times New Roman" w:hAnsi="Times New Roman" w:eastAsia="宋体" w:cs="Times New Roman"/>
      <w:sz w:val="21"/>
      <w:szCs w:val="21"/>
      <w:lang w:val="en-US" w:eastAsia="zh-CN" w:bidi="ar-SA"/>
    </w:rPr>
  </w:style>
  <w:style w:type="paragraph" w:customStyle="1" w:styleId="43">
    <w:name w:val="TOC 标题1"/>
    <w:unhideWhenUsed/>
    <w:qFormat/>
    <w:uiPriority w:val="27"/>
    <w:rPr>
      <w:rFonts w:ascii="Times New Roman" w:hAnsi="Times New Roman" w:eastAsia="宋体" w:cs="Times New Roman"/>
      <w:color w:val="2E74B5"/>
      <w:sz w:val="32"/>
      <w:szCs w:val="32"/>
      <w:lang w:val="en-US" w:eastAsia="zh-CN" w:bidi="ar-SA"/>
    </w:rPr>
  </w:style>
  <w:style w:type="paragraph" w:customStyle="1" w:styleId="44">
    <w:name w:val="正文 New"/>
    <w:qFormat/>
    <w:uiPriority w:val="0"/>
    <w:pPr>
      <w:autoSpaceDE w:val="0"/>
      <w:autoSpaceDN w:val="0"/>
    </w:pPr>
    <w:rPr>
      <w:rFonts w:ascii="Times New Roman" w:hAnsi="Times New Roman" w:eastAsia="宋体" w:cs="Times New Roman"/>
      <w:sz w:val="24"/>
      <w:szCs w:val="24"/>
      <w:lang w:val="en-US" w:eastAsia="zh-CN" w:bidi="ar-SA"/>
    </w:rPr>
  </w:style>
  <w:style w:type="character" w:customStyle="1" w:styleId="45">
    <w:name w:val="日期 Char"/>
    <w:basedOn w:val="30"/>
    <w:link w:val="17"/>
    <w:semiHidden/>
    <w:qFormat/>
    <w:uiPriority w:val="0"/>
    <w:rPr>
      <w:w w:val="100"/>
      <w:sz w:val="21"/>
      <w:szCs w:val="21"/>
      <w:shd w:val="clear" w:color="auto" w:fill="auto"/>
    </w:rPr>
  </w:style>
  <w:style w:type="character" w:customStyle="1" w:styleId="46">
    <w:name w:val="页眉 Char"/>
    <w:basedOn w:val="30"/>
    <w:link w:val="20"/>
    <w:qFormat/>
    <w:uiPriority w:val="0"/>
    <w:rPr>
      <w:w w:val="100"/>
      <w:sz w:val="18"/>
      <w:szCs w:val="18"/>
      <w:shd w:val="clear" w:color="auto" w:fill="auto"/>
    </w:rPr>
  </w:style>
  <w:style w:type="character" w:customStyle="1" w:styleId="47">
    <w:name w:val="页脚 Char"/>
    <w:basedOn w:val="30"/>
    <w:link w:val="19"/>
    <w:qFormat/>
    <w:uiPriority w:val="0"/>
    <w:rPr>
      <w:w w:val="100"/>
      <w:sz w:val="18"/>
      <w:szCs w:val="18"/>
      <w:shd w:val="clear" w:color="auto" w:fill="auto"/>
    </w:rPr>
  </w:style>
  <w:style w:type="character" w:customStyle="1" w:styleId="48">
    <w:name w:val="批注框文本 Char"/>
    <w:basedOn w:val="30"/>
    <w:link w:val="18"/>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微软用户</Company>
  <Pages>7</Pages>
  <Words>3389</Words>
  <Characters>3427</Characters>
  <Lines>82</Lines>
  <Paragraphs>23</Paragraphs>
  <TotalTime>1054</TotalTime>
  <ScaleCrop>false</ScaleCrop>
  <LinksUpToDate>false</LinksUpToDate>
  <CharactersWithSpaces>3427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2020-06-01T01:26:00Z</dcterms:created>
  <dc:creator>办公室-华秋</dc:creator>
  <cp:lastModifiedBy>Sun</cp:lastModifiedBy>
  <cp:lastPrinted>2021-10-08T05:36:00Z</cp:lastPrinted>
  <dcterms:modified xsi:type="dcterms:W3CDTF">2026-06-15T07:53:41Z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9AA1AFB63189415DABE3A8FC00C3D9D0_13</vt:lpwstr>
  </property>
  <property fmtid="{D5CDD505-2E9C-101B-9397-08002B2CF9AE}" pid="4" name="KSOTemplateDocerSaveRecord">
    <vt:lpwstr>eyJoZGlkIjoiNzNlMzQ2YzYyMDk1ZGVmOTY2Mzc2MzgxMTFkYTEwMDciLCJ1c2VySWQiOiIxNTIzNjgzMjMwIn0=</vt:lpwstr>
  </property>
</Properties>
</file>